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cnxn-20260331x10q.htm"/>
        <w:bookmarkStart w:id="1" w:name="kscnxn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b</w:t>
      </w:r>
    </w:p>
    <w:p>
      <w:pPr>
        <w:pStyle w:val="TextBody"/>
        <w:bidi w:val="0"/>
        <w:spacing w:before="80" w:after="0"/>
        <w:ind w:left="0" w:right="0" w:hanging="0"/>
        <w:jc w:val="center"/>
        <w:rPr>
          <w:rFonts w:ascii="Times New Roman;Times;serif" w:hAnsi="Times New Roman;Times;serif"/>
          <w:b/>
          <w:sz w:val="28"/>
        </w:rPr>
      </w:pPr>
      <w:bookmarkStart w:id="2" w:name="_2ef7a073_fb3d_4a29_a31a_df8095ed7d36"/>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8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60"/>
        <w:ind w:left="0" w:right="0" w:firstLine="63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60"/>
        <w:ind w:left="0" w:right="0" w:hanging="0"/>
        <w:jc w:val="left"/>
        <w:rPr/>
      </w:pPr>
      <w:r>
        <w:rPr>
          <w:caps w:val="false"/>
          <w:smallCaps w:val="false"/>
        </w:rPr>
        <w:t>☑</w:t>
      </w:r>
      <w:r>
        <w:rPr>
          <w:rFonts w:ascii="Times New Roman;Times;serif" w:hAnsi="Times New Roman;Times;serif"/>
          <w:b/>
          <w:sz w:val="16"/>
        </w:rPr>
        <w:t>QUARTERLY REPORT PURSUANT TO SECTION 13 OR 15(d) OF THE SECURITIES EXCHANGE ACT OF 1934*</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60"/>
        <w:ind w:left="0" w:right="0" w:hanging="0"/>
        <w:jc w:val="left"/>
        <w:rPr/>
      </w:pPr>
      <w:r>
        <w:rPr>
          <w:caps w:val="false"/>
          <w:smallCaps w:val="false"/>
        </w:rPr>
        <w:t>☐</w:t>
      </w:r>
      <w:r>
        <w:rPr>
          <w:rFonts w:ascii="Times New Roman;Times;serif" w:hAnsi="Times New Roman;Times;serif"/>
          <w:b/>
          <w:sz w:val="16"/>
        </w:rPr>
        <w:t>TRANSITION REPORT PURSUANT TO SECTION 13 OR 15(d) OF THE SECURITIES EXCHANGE ACT OF 1934</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Commission file number: 0-23827</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PC CONNECTION, INC.</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nwD5D0h4zkW4rtCYIU8acg_3_0"/>
      <w:bookmarkStart w:id="4" w:name="Tc_-lz52KgLKUmFwJYNL6S05Q_2_1"/>
      <w:bookmarkStart w:id="5" w:name="Tc_huHmxsYI4EmcgIPwu5xwJw_2_0"/>
      <w:bookmarkStart w:id="6" w:name="_Hlk139971145"/>
      <w:bookmarkStart w:id="7" w:name="_63ea4bd0_7e62_4f88_b233_14d2ee902345"/>
      <w:bookmarkStart w:id="8" w:name="Tc_nwD5D0h4zkW4rtCYIU8acg_3_0"/>
      <w:bookmarkStart w:id="9" w:name="Tc_-lz52KgLKUmFwJYNL6S05Q_2_1"/>
      <w:bookmarkStart w:id="10" w:name="Tc_huHmxsYI4EmcgIPwu5xwJw_2_0"/>
      <w:bookmarkStart w:id="11" w:name="_Hlk139971145"/>
      <w:bookmarkStart w:id="12" w:name="_63ea4bd0_7e62_4f88_b233_14d2ee902345"/>
      <w:bookmarkEnd w:id="8"/>
      <w:bookmarkEnd w:id="9"/>
      <w:bookmarkEnd w:id="10"/>
      <w:bookmarkEnd w:id="11"/>
      <w:bookmarkEnd w:id="12"/>
    </w:p>
    <w:tbl>
      <w:tblPr>
        <w:tblW w:w="5612" w:type="dxa"/>
        <w:jc w:val="left"/>
        <w:tblInd w:w="0" w:type="dxa"/>
        <w:tblLayout w:type="fixed"/>
        <w:tblCellMar>
          <w:top w:w="0" w:type="dxa"/>
          <w:left w:w="0" w:type="dxa"/>
          <w:bottom w:w="0" w:type="dxa"/>
          <w:right w:w="0" w:type="dxa"/>
        </w:tblCellMar>
      </w:tblPr>
      <w:tblGrid>
        <w:gridCol w:w="2581"/>
        <w:gridCol w:w="3031"/>
      </w:tblGrid>
      <w:tr>
        <w:trPr/>
        <w:tc>
          <w:tcPr>
            <w:tcW w:w="2581"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02-0513618</w:t>
            </w:r>
          </w:p>
        </w:tc>
      </w:tr>
      <w:tr>
        <w:trPr/>
        <w:tc>
          <w:tcPr>
            <w:tcW w:w="258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58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03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 w:name="Tc_FqqslqNNpUekt9s-Y2_QYw_3_1"/>
      <w:bookmarkStart w:id="14" w:name="Tc_ZlKdHMfxyUKJx9xrCycj7g_3_0"/>
      <w:bookmarkStart w:id="15" w:name="Tc_KDxl8YfOEUOOdi3JJ-v_HA_2_0"/>
      <w:bookmarkStart w:id="16" w:name="_658a16a5_01dc_4c48_8686_ad6ca0a3c069"/>
      <w:bookmarkStart w:id="17" w:name="Tc_FqqslqNNpUekt9s-Y2_QYw_3_1"/>
      <w:bookmarkStart w:id="18" w:name="Tc_ZlKdHMfxyUKJx9xrCycj7g_3_0"/>
      <w:bookmarkStart w:id="19" w:name="Tc_KDxl8YfOEUOOdi3JJ-v_HA_2_0"/>
      <w:bookmarkStart w:id="20" w:name="_658a16a5_01dc_4c48_8686_ad6ca0a3c069"/>
      <w:bookmarkEnd w:id="17"/>
      <w:bookmarkEnd w:id="18"/>
      <w:bookmarkEnd w:id="19"/>
      <w:bookmarkEnd w:id="20"/>
    </w:p>
    <w:tbl>
      <w:tblPr>
        <w:tblW w:w="4337" w:type="dxa"/>
        <w:jc w:val="left"/>
        <w:tblInd w:w="0" w:type="dxa"/>
        <w:tblLayout w:type="fixed"/>
        <w:tblCellMar>
          <w:top w:w="0" w:type="dxa"/>
          <w:left w:w="0" w:type="dxa"/>
          <w:bottom w:w="0" w:type="dxa"/>
          <w:right w:w="0" w:type="dxa"/>
        </w:tblCellMar>
      </w:tblPr>
      <w:tblGrid>
        <w:gridCol w:w="3301"/>
        <w:gridCol w:w="1036"/>
      </w:tblGrid>
      <w:tr>
        <w:trPr/>
        <w:tc>
          <w:tcPr>
            <w:tcW w:w="330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730 Milford Road</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Merrimack, New Hampshire</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03054</w:t>
            </w:r>
          </w:p>
        </w:tc>
      </w:tr>
      <w:tr>
        <w:trPr/>
        <w:tc>
          <w:tcPr>
            <w:tcW w:w="330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659" w:type="dxa"/>
        <w:jc w:val="left"/>
        <w:tblInd w:w="0" w:type="dxa"/>
        <w:tblLayout w:type="fixed"/>
        <w:tblCellMar>
          <w:top w:w="0" w:type="dxa"/>
          <w:left w:w="0" w:type="dxa"/>
          <w:bottom w:w="0" w:type="dxa"/>
          <w:right w:w="0" w:type="dxa"/>
        </w:tblCellMar>
      </w:tblPr>
      <w:tblGrid>
        <w:gridCol w:w="124"/>
        <w:gridCol w:w="4381"/>
        <w:gridCol w:w="154"/>
      </w:tblGrid>
      <w:tr>
        <w:trPr/>
        <w:tc>
          <w:tcPr>
            <w:tcW w:w="124" w:type="dxa"/>
            <w:tcBorders/>
            <w:vAlign w:val="center"/>
          </w:tcPr>
          <w:p>
            <w:pPr>
              <w:pStyle w:val="TableContents"/>
              <w:bidi w:val="0"/>
              <w:spacing w:before="0" w:after="0"/>
              <w:ind w:left="0" w:right="0" w:hanging="0"/>
              <w:jc w:val="left"/>
              <w:rPr/>
            </w:pPr>
            <w:r>
              <w:rPr/>
              <w:t>​</w:t>
            </w:r>
          </w:p>
        </w:tc>
        <w:tc>
          <w:tcPr>
            <w:tcW w:w="43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center"/>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(603) 683-2000</w:t>
            </w:r>
          </w:p>
        </w:tc>
        <w:tc>
          <w:tcPr>
            <w:tcW w:w="154"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center"/>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80" w:after="8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 N/A</w:t>
      </w:r>
    </w:p>
    <w:p>
      <w:pPr>
        <w:pStyle w:val="TextBody"/>
        <w:bidi w:val="0"/>
        <w:spacing w:before="100" w:after="100"/>
        <w:ind w:left="0" w:right="0" w:hanging="0"/>
        <w:jc w:val="left"/>
        <w:rPr/>
      </w:pPr>
      <w:r>
        <w:rPr/>
        <w:t>​</w:t>
      </w:r>
    </w:p>
    <w:p>
      <w:pPr>
        <w:pStyle w:val="TextBody"/>
        <w:bidi w:val="0"/>
        <w:spacing w:before="80" w:after="8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1" w:name="Tc_12bNKGz9T0SOoJx35acJzg_1_2"/>
      <w:bookmarkStart w:id="22" w:name="Tc_nrswQJmwMUWG5dpQQ6RfiA_1_1"/>
      <w:bookmarkStart w:id="23" w:name="Tc_dkriH3GoD06SDEcxywd0_g_1_0"/>
      <w:bookmarkStart w:id="24" w:name="Tc_27NryQ0nSkCvFW-0E8OYuQ_0_0"/>
      <w:bookmarkStart w:id="25" w:name="_15988c93_2684_40de_9cbc_57a541c2952f"/>
      <w:bookmarkStart w:id="26" w:name="Tc_12bNKGz9T0SOoJx35acJzg_1_2"/>
      <w:bookmarkStart w:id="27" w:name="Tc_nrswQJmwMUWG5dpQQ6RfiA_1_1"/>
      <w:bookmarkStart w:id="28" w:name="Tc_dkriH3GoD06SDEcxywd0_g_1_0"/>
      <w:bookmarkStart w:id="29" w:name="Tc_27NryQ0nSkCvFW-0E8OYuQ_0_0"/>
      <w:bookmarkStart w:id="30" w:name="_15988c93_2684_40de_9cbc_57a541c2952f"/>
      <w:bookmarkEnd w:id="26"/>
      <w:bookmarkEnd w:id="27"/>
      <w:bookmarkEnd w:id="28"/>
      <w:bookmarkEnd w:id="29"/>
      <w:bookmarkEnd w:id="30"/>
    </w:p>
    <w:tbl>
      <w:tblPr>
        <w:tblW w:w="8058" w:type="dxa"/>
        <w:jc w:val="left"/>
        <w:tblInd w:w="0" w:type="dxa"/>
        <w:tblLayout w:type="fixed"/>
        <w:tblCellMar>
          <w:top w:w="0" w:type="dxa"/>
          <w:left w:w="0" w:type="dxa"/>
          <w:bottom w:w="0" w:type="dxa"/>
          <w:right w:w="0" w:type="dxa"/>
        </w:tblCellMar>
      </w:tblPr>
      <w:tblGrid>
        <w:gridCol w:w="2731"/>
        <w:gridCol w:w="1621"/>
        <w:gridCol w:w="3706"/>
      </w:tblGrid>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7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Common Stock, $0.01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CNXN</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b/>
          <w:sz w:val="20"/>
        </w:rPr>
        <w:t>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b/>
          <w:sz w:val="20"/>
        </w:rPr>
        <w:t>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45" w:type="dxa"/>
        <w:jc w:val="left"/>
        <w:tblInd w:w="0" w:type="dxa"/>
        <w:tblLayout w:type="fixed"/>
        <w:tblCellMar>
          <w:top w:w="0" w:type="dxa"/>
          <w:left w:w="0" w:type="dxa"/>
          <w:bottom w:w="0" w:type="dxa"/>
          <w:right w:w="0" w:type="dxa"/>
        </w:tblCellMar>
      </w:tblPr>
      <w:tblGrid>
        <w:gridCol w:w="124"/>
        <w:gridCol w:w="2131"/>
        <w:gridCol w:w="109"/>
        <w:gridCol w:w="2581"/>
      </w:tblGrid>
      <w:tr>
        <w:trPr/>
        <w:tc>
          <w:tcPr>
            <w:tcW w:w="2255"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righ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124" w:type="dxa"/>
            <w:tcBorders/>
            <w:vAlign w:val="center"/>
          </w:tcPr>
          <w:p>
            <w:pPr>
              <w:pStyle w:val="TableContents"/>
              <w:pBdr/>
              <w:bidi w:val="0"/>
              <w:spacing w:before="0" w:after="0"/>
              <w:ind w:left="0" w:right="0" w:hanging="0"/>
              <w:jc w:val="righ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124" w:type="dxa"/>
            <w:tcBorders/>
            <w:vAlign w:val="center"/>
          </w:tcPr>
          <w:p>
            <w:pPr>
              <w:pStyle w:val="TableContents"/>
              <w:bidi w:val="0"/>
              <w:spacing w:before="0" w:after="0"/>
              <w:ind w:left="0" w:right="0" w:hanging="0"/>
              <w:jc w:val="right"/>
              <w:rPr/>
            </w:pPr>
            <w:r>
              <w:rPr/>
              <w:t>​</w:t>
            </w:r>
          </w:p>
        </w:tc>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b/>
          <w:sz w:val="20"/>
        </w:rPr>
        <w:t>Yes  </w:t>
      </w:r>
      <w:r>
        <w:rPr>
          <w:rFonts w:ascii="Times New Roman;Times;serif" w:hAnsi="Times New Roman;Times;serif"/>
          <w:sz w:val="20"/>
        </w:rPr>
        <w:t>☐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shares outstanding of the issuer’s common stock as of April 22, 2026 was 25,226,047.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 w:name="_a90d91e9_89da_4d12_a1b4_b8cba311edd4"/>
      <w:bookmarkEnd w:id="31"/>
      <w:r>
        <w:rPr>
          <w:rFonts w:ascii="Times New Roman;Times;serif" w:hAnsi="Times New Roman;Times;serif"/>
          <w:b/>
          <w:sz w:val="20"/>
        </w:rPr>
        <w:t>PC CONNECTION, INC. AND SUBSIDIARIES</w:t>
      </w:r>
    </w:p>
    <w:p>
      <w:pPr>
        <w:pStyle w:val="TextBody"/>
        <w:bidi w:val="0"/>
        <w:spacing w:before="0" w:after="32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360"/>
        <w:ind w:left="0" w:right="0" w:hanging="0"/>
        <w:jc w:val="center"/>
        <w:rPr>
          <w:rFonts w:ascii="Times New Roman;Times;serif" w:hAnsi="Times New Roman;Times;serif"/>
          <w:b/>
          <w:sz w:val="20"/>
        </w:rPr>
      </w:pPr>
      <w:bookmarkStart w:id="32" w:name="Toc"/>
      <w:bookmarkEnd w:id="3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91"/>
        <w:gridCol w:w="8742"/>
        <w:gridCol w:w="572"/>
      </w:tblGrid>
      <w:tr>
        <w:trPr/>
        <w:tc>
          <w:tcPr>
            <w:tcW w:w="891" w:type="dxa"/>
            <w:tcBorders/>
            <w:vAlign w:val="center"/>
          </w:tcPr>
          <w:p>
            <w:pPr>
              <w:pStyle w:val="TableContents"/>
              <w:bidi w:val="0"/>
              <w:spacing w:before="0" w:after="0"/>
              <w:ind w:left="0" w:right="0" w:hanging="0"/>
              <w:jc w:val="left"/>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r>
      <w:tr>
        <w:trPr/>
        <w:tc>
          <w:tcPr>
            <w:tcW w:w="891" w:type="dxa"/>
            <w:tcBorders/>
            <w:vAlign w:val="center"/>
          </w:tcPr>
          <w:p>
            <w:pPr>
              <w:pStyle w:val="TableContents"/>
              <w:bidi w:val="0"/>
              <w:spacing w:before="0" w:after="0"/>
              <w:ind w:left="0" w:right="0" w:hanging="0"/>
              <w:jc w:val="center"/>
              <w:rPr/>
            </w:pPr>
            <w:r>
              <w:rPr/>
              <w:t>​</w:t>
            </w:r>
          </w:p>
        </w:tc>
        <w:tc>
          <w:tcPr>
            <w:tcW w:w="8742" w:type="dxa"/>
            <w:tcBorders/>
            <w:vAlign w:val="center"/>
          </w:tcPr>
          <w:p>
            <w:pPr>
              <w:pStyle w:val="TableContents"/>
              <w:bidi w:val="0"/>
              <w:spacing w:before="0" w:after="0"/>
              <w:ind w:left="0" w:right="0" w:hanging="0"/>
              <w:jc w:val="center"/>
              <w:rPr/>
            </w:pPr>
            <w:hyperlink w:anchor="PARTI_377849">
              <w:r>
                <w:rPr>
                  <w:rStyle w:val="InternetLink"/>
                  <w:rFonts w:ascii="Times New Roman;Times;serif" w:hAnsi="Times New Roman;Times;serif"/>
                  <w:b/>
                  <w:i w:val="false"/>
                  <w:caps w:val="false"/>
                  <w:smallCaps w:val="false"/>
                  <w:sz w:val="20"/>
                </w:rPr>
                <w:t>PART I FINANCIAL INFORMATION</w:t>
              </w:r>
            </w:hyperlink>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91" w:type="dxa"/>
            <w:tcBorders/>
            <w:vAlign w:val="center"/>
          </w:tcPr>
          <w:p>
            <w:pPr>
              <w:pStyle w:val="TableContents"/>
              <w:pBdr/>
              <w:bidi w:val="0"/>
              <w:spacing w:before="0" w:after="0"/>
              <w:ind w:left="0" w:right="0" w:hanging="0"/>
              <w:jc w:val="both"/>
              <w:rPr/>
            </w:pPr>
            <w:hyperlink w:anchor="ITEM1_621390">
              <w:r>
                <w:rPr>
                  <w:rStyle w:val="InternetLink"/>
                  <w:rFonts w:ascii="Times New Roman;Times;serif" w:hAnsi="Times New Roman;Times;serif"/>
                  <w:b w:val="false"/>
                  <w:i w:val="false"/>
                  <w:caps w:val="false"/>
                  <w:smallCaps w:val="false"/>
                  <w:sz w:val="20"/>
                </w:rPr>
                <w:t>ITEM 1.</w:t>
              </w:r>
            </w:hyperlink>
          </w:p>
        </w:tc>
        <w:tc>
          <w:tcPr>
            <w:tcW w:w="8742" w:type="dxa"/>
            <w:tcBorders/>
            <w:vAlign w:val="center"/>
          </w:tcPr>
          <w:p>
            <w:pPr>
              <w:pStyle w:val="TableContents"/>
              <w:bidi w:val="0"/>
              <w:spacing w:before="0" w:after="0"/>
              <w:ind w:left="0" w:right="0" w:hanging="0"/>
              <w:jc w:val="left"/>
              <w:rPr/>
            </w:pPr>
            <w:hyperlink w:anchor="ITEM1_621390">
              <w:r>
                <w:rPr>
                  <w:rStyle w:val="InternetLink"/>
                  <w:rFonts w:ascii="Times New Roman;Times;serif" w:hAnsi="Times New Roman;Times;serif"/>
                  <w:b w:val="false"/>
                  <w:i w:val="false"/>
                  <w:caps w:val="false"/>
                  <w:smallCaps w:val="false"/>
                  <w:sz w:val="20"/>
                </w:rPr>
                <w:t>Unaudited Condensed Consolidated Financial Statements:</w:t>
              </w:r>
            </w:hyperlink>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hyperlink w:anchor="BALANCESHEETS_804694">
              <w:r>
                <w:rPr>
                  <w:rStyle w:val="InternetLink"/>
                  <w:rFonts w:ascii="Times New Roman;Times;serif" w:hAnsi="Times New Roman;Times;serif"/>
                  <w:b w:val="false"/>
                  <w:i w:val="false"/>
                  <w:caps w:val="false"/>
                  <w:smallCaps w:val="false"/>
                  <w:sz w:val="20"/>
                </w:rPr>
                <w:t>Condensed Consolidated Balance Sheets–March 31, 2026 and December 31,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hyperlink w:anchor="STATEMENTSOFINCOME_861028">
              <w:r>
                <w:rPr>
                  <w:rStyle w:val="InternetLink"/>
                  <w:rFonts w:ascii="Times New Roman;Times;serif" w:hAnsi="Times New Roman;Times;serif"/>
                  <w:b w:val="false"/>
                  <w:i w:val="false"/>
                  <w:caps w:val="false"/>
                  <w:smallCaps w:val="false"/>
                  <w:sz w:val="20"/>
                </w:rPr>
                <w:t>Condensed Consolidated Statements of Income–Three Months Ended March 31, 2026 and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hyperlink w:anchor="STATEMENTSOFCOMPREHENSIVEINCOME">
              <w:r>
                <w:rPr>
                  <w:rStyle w:val="InternetLink"/>
                  <w:rFonts w:ascii="Times New Roman;Times;serif" w:hAnsi="Times New Roman;Times;serif"/>
                  <w:b w:val="false"/>
                  <w:i w:val="false"/>
                  <w:caps w:val="false"/>
                  <w:smallCaps w:val="false"/>
                  <w:sz w:val="20"/>
                </w:rPr>
                <w:t>Condensed Consolidated Statements of Other Comprehensive Income–Three Months Ended March 31, 2026 and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hyperlink w:anchor="STATEMENTSOFEQUITY">
              <w:r>
                <w:rPr>
                  <w:rStyle w:val="InternetLink"/>
                  <w:rFonts w:ascii="Times New Roman;Times;serif" w:hAnsi="Times New Roman;Times;serif"/>
                  <w:b w:val="false"/>
                  <w:i w:val="false"/>
                  <w:caps w:val="false"/>
                  <w:smallCaps w:val="false"/>
                  <w:sz w:val="20"/>
                </w:rPr>
                <w:t>Condensed Consolidated Statements of Stockholders’ Equity–Three Months Ended March 31, 2026 and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hyperlink w:anchor="STATEMENTSOFCASHFLOWS_464489">
              <w:r>
                <w:rPr>
                  <w:rStyle w:val="InternetLink"/>
                  <w:rFonts w:ascii="Times New Roman;Times;serif" w:hAnsi="Times New Roman;Times;serif"/>
                  <w:b w:val="false"/>
                  <w:i w:val="false"/>
                  <w:caps w:val="false"/>
                  <w:smallCaps w:val="false"/>
                  <w:sz w:val="20"/>
                </w:rPr>
                <w:t>Condensed Consolidated Statements of Cash Flows–Three Months Ended March 31, 2026 and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pBdr/>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742"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pBdr/>
              <w:bidi w:val="0"/>
              <w:spacing w:before="0" w:after="0"/>
              <w:ind w:left="0" w:right="0" w:hanging="0"/>
              <w:jc w:val="both"/>
              <w:rPr/>
            </w:pPr>
            <w:hyperlink w:anchor="ITEM3QuantitativeAndQualitativeDisclose">
              <w:r>
                <w:rPr>
                  <w:rStyle w:val="InternetLink"/>
                  <w:rFonts w:ascii="Times New Roman;Times;serif" w:hAnsi="Times New Roman;Times;serif"/>
                  <w:b w:val="false"/>
                  <w:i w:val="false"/>
                  <w:caps w:val="false"/>
                  <w:smallCaps w:val="false"/>
                  <w:sz w:val="20"/>
                </w:rPr>
                <w:t>ITEM 3.</w:t>
              </w:r>
            </w:hyperlink>
          </w:p>
        </w:tc>
        <w:tc>
          <w:tcPr>
            <w:tcW w:w="8742" w:type="dxa"/>
            <w:tcBorders/>
            <w:vAlign w:val="center"/>
          </w:tcPr>
          <w:p>
            <w:pPr>
              <w:pStyle w:val="TableContents"/>
              <w:bidi w:val="0"/>
              <w:spacing w:before="0" w:after="0"/>
              <w:ind w:left="0" w:right="0" w:hanging="0"/>
              <w:jc w:val="left"/>
              <w:rPr/>
            </w:pPr>
            <w:hyperlink w:anchor="ITEM3QuantitativeAndQualitativeDisclose">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pBdr/>
              <w:bidi w:val="0"/>
              <w:spacing w:before="0" w:after="0"/>
              <w:ind w:left="0" w:right="0" w:hanging="0"/>
              <w:jc w:val="both"/>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8742" w:type="dxa"/>
            <w:tcBorders/>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center"/>
              <w:rPr/>
            </w:pPr>
            <w:r>
              <w:rPr/>
              <w:t>​</w:t>
            </w:r>
          </w:p>
        </w:tc>
        <w:tc>
          <w:tcPr>
            <w:tcW w:w="8742" w:type="dxa"/>
            <w:tcBorders/>
            <w:vAlign w:val="center"/>
          </w:tcPr>
          <w:p>
            <w:pPr>
              <w:pStyle w:val="TableContents"/>
              <w:bidi w:val="0"/>
              <w:spacing w:before="0" w:after="0"/>
              <w:ind w:left="0" w:right="0" w:hanging="0"/>
              <w:jc w:val="center"/>
              <w:rPr/>
            </w:pPr>
            <w:hyperlink w:anchor="PARTIIOTHERINFORMATION_688893">
              <w:r>
                <w:rPr>
                  <w:rStyle w:val="InternetLink"/>
                  <w:rFonts w:ascii="Times New Roman;Times;serif" w:hAnsi="Times New Roman;Times;serif"/>
                  <w:b/>
                  <w:i w:val="false"/>
                  <w:caps w:val="false"/>
                  <w:smallCaps w:val="false"/>
                  <w:sz w:val="20"/>
                </w:rPr>
                <w:t>PART II OTHER INFORMATION</w:t>
              </w:r>
            </w:hyperlink>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hyperlink w:anchor="Item1LegalProceedings_246334">
              <w:r>
                <w:rPr>
                  <w:rStyle w:val="InternetLink"/>
                  <w:rFonts w:ascii="Times New Roman;Times;serif" w:hAnsi="Times New Roman;Times;serif"/>
                  <w:b w:val="false"/>
                  <w:i w:val="false"/>
                  <w:caps w:val="false"/>
                  <w:smallCaps w:val="false"/>
                  <w:sz w:val="20"/>
                </w:rPr>
                <w:t>ITEM 1</w:t>
              </w:r>
            </w:hyperlink>
            <w:r>
              <w:rPr>
                <w:rFonts w:ascii="Times New Roman;Times;serif" w:hAnsi="Times New Roman;Times;serif"/>
                <w:sz w:val="20"/>
              </w:rPr>
              <w:t>.</w:t>
            </w:r>
          </w:p>
        </w:tc>
        <w:tc>
          <w:tcPr>
            <w:tcW w:w="8742" w:type="dxa"/>
            <w:tcBorders/>
            <w:vAlign w:val="center"/>
          </w:tcPr>
          <w:p>
            <w:pPr>
              <w:pStyle w:val="TableContents"/>
              <w:bidi w:val="0"/>
              <w:spacing w:before="0" w:after="0"/>
              <w:ind w:left="0" w:right="0" w:hanging="0"/>
              <w:jc w:val="left"/>
              <w:rPr/>
            </w:pPr>
            <w:hyperlink w:anchor="Item1LegalProceedings_246334">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hyperlink w:anchor="Item1ARiskFactors_403281">
              <w:r>
                <w:rPr>
                  <w:rStyle w:val="InternetLink"/>
                  <w:rFonts w:ascii="Times New Roman;Times;serif" w:hAnsi="Times New Roman;Times;serif"/>
                  <w:b w:val="false"/>
                  <w:i w:val="false"/>
                  <w:caps w:val="false"/>
                  <w:smallCaps w:val="false"/>
                  <w:sz w:val="20"/>
                </w:rPr>
                <w:t>ITEM 1A</w:t>
              </w:r>
            </w:hyperlink>
            <w:r>
              <w:rPr>
                <w:rFonts w:ascii="Times New Roman;Times;serif" w:hAnsi="Times New Roman;Times;serif"/>
                <w:sz w:val="20"/>
              </w:rPr>
              <w:t>.</w:t>
            </w:r>
          </w:p>
        </w:tc>
        <w:tc>
          <w:tcPr>
            <w:tcW w:w="8742" w:type="dxa"/>
            <w:tcBorders/>
            <w:vAlign w:val="center"/>
          </w:tcPr>
          <w:p>
            <w:pPr>
              <w:pStyle w:val="TableContents"/>
              <w:bidi w:val="0"/>
              <w:spacing w:before="0" w:after="0"/>
              <w:ind w:left="0" w:right="0" w:hanging="0"/>
              <w:jc w:val="left"/>
              <w:rPr/>
            </w:pPr>
            <w:hyperlink w:anchor="Item1ARiskFactors_403281">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hyperlink w:anchor="Item2Part2UnregisteredSalesOfEquitySecur">
              <w:r>
                <w:rPr>
                  <w:rStyle w:val="InternetLink"/>
                  <w:rFonts w:ascii="Times New Roman;Times;serif" w:hAnsi="Times New Roman;Times;serif"/>
                  <w:b w:val="false"/>
                  <w:i w:val="false"/>
                  <w:caps w:val="false"/>
                  <w:smallCaps w:val="false"/>
                  <w:sz w:val="20"/>
                </w:rPr>
                <w:t>ITEM 2.</w:t>
              </w:r>
            </w:hyperlink>
          </w:p>
        </w:tc>
        <w:tc>
          <w:tcPr>
            <w:tcW w:w="8742" w:type="dxa"/>
            <w:tcBorders/>
            <w:vAlign w:val="center"/>
          </w:tcPr>
          <w:p>
            <w:pPr>
              <w:pStyle w:val="TableContents"/>
              <w:bidi w:val="0"/>
              <w:spacing w:before="0" w:after="0"/>
              <w:ind w:left="0" w:right="0" w:hanging="0"/>
              <w:jc w:val="left"/>
              <w:rPr/>
            </w:pPr>
            <w:hyperlink w:anchor="Item2Part2UnregisteredSalesOfEquitySecur">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8742"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91" w:type="dxa"/>
            <w:tcBorders/>
            <w:vAlign w:val="center"/>
          </w:tcPr>
          <w:p>
            <w:pPr>
              <w:pStyle w:val="TableContents"/>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91" w:type="dxa"/>
            <w:tcBorders/>
            <w:vAlign w:val="center"/>
          </w:tcPr>
          <w:p>
            <w:pPr>
              <w:pStyle w:val="TableContents"/>
              <w:bidi w:val="0"/>
              <w:spacing w:before="0" w:after="0"/>
              <w:ind w:left="0" w:right="0" w:hanging="0"/>
              <w:jc w:val="both"/>
              <w:rPr/>
            </w:pPr>
            <w:hyperlink w:anchor="Item6Exhibits_46108">
              <w:r>
                <w:rPr>
                  <w:rStyle w:val="InternetLink"/>
                  <w:rFonts w:ascii="Times New Roman;Times;serif" w:hAnsi="Times New Roman;Times;serif"/>
                  <w:b w:val="false"/>
                  <w:i w:val="false"/>
                  <w:caps w:val="false"/>
                  <w:smallCaps w:val="false"/>
                  <w:sz w:val="20"/>
                </w:rPr>
                <w:t>ITEM 6</w:t>
              </w:r>
            </w:hyperlink>
            <w:r>
              <w:rPr>
                <w:rFonts w:ascii="Times New Roman;Times;serif" w:hAnsi="Times New Roman;Times;serif"/>
                <w:sz w:val="20"/>
              </w:rPr>
              <w:t>.</w:t>
            </w:r>
          </w:p>
        </w:tc>
        <w:tc>
          <w:tcPr>
            <w:tcW w:w="8742" w:type="dxa"/>
            <w:tcBorders/>
            <w:vAlign w:val="center"/>
          </w:tcPr>
          <w:p>
            <w:pPr>
              <w:pStyle w:val="TableContents"/>
              <w:bidi w:val="0"/>
              <w:spacing w:before="0" w:after="0"/>
              <w:ind w:left="0" w:right="0" w:hanging="0"/>
              <w:jc w:val="left"/>
              <w:rPr/>
            </w:pPr>
            <w:hyperlink w:anchor="Item6Exhibits_46108">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91" w:type="dxa"/>
            <w:tcBorders/>
            <w:vAlign w:val="center"/>
          </w:tcPr>
          <w:p>
            <w:pPr>
              <w:pStyle w:val="TableContents"/>
              <w:pBdr/>
              <w:bidi w:val="0"/>
              <w:spacing w:before="0" w:after="0"/>
              <w:ind w:left="0" w:right="0" w:hanging="0"/>
              <w:jc w:val="both"/>
              <w:rPr/>
            </w:pPr>
            <w:r>
              <w:rPr/>
              <w:t>​</w:t>
            </w:r>
          </w:p>
        </w:tc>
        <w:tc>
          <w:tcPr>
            <w:tcW w:w="874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633" w:type="dxa"/>
            <w:gridSpan w:val="2"/>
            <w:tcBorders/>
            <w:vAlign w:val="center"/>
          </w:tcPr>
          <w:p>
            <w:pPr>
              <w:pStyle w:val="TableContents"/>
              <w:pBdr/>
              <w:bidi w:val="0"/>
              <w:spacing w:before="0" w:after="0"/>
              <w:ind w:left="0" w:right="0" w:hanging="0"/>
              <w:jc w:val="left"/>
              <w:rPr/>
            </w:pPr>
            <w:hyperlink w:anchor="SIGNATURES_538276">
              <w:r>
                <w:rPr>
                  <w:rStyle w:val="InternetLink"/>
                  <w:rFonts w:ascii="Times New Roman;Times;serif" w:hAnsi="Times New Roman;Times;serif"/>
                  <w:b/>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33" w:name="PARTI_377849"/>
      <w:bookmarkStart w:id="34" w:name="_cf9395ba_66f9_4eda_a6c8_d23d104a03f7"/>
      <w:bookmarkEnd w:id="33"/>
      <w:bookmarkEnd w:id="34"/>
      <w:r>
        <w:rPr>
          <w:rFonts w:ascii="Times New Roman;Times;serif" w:hAnsi="Times New Roman;Times;serif"/>
          <w:b/>
          <w:sz w:val="20"/>
        </w:rPr>
        <w:t>PART I</w:t>
      </w:r>
      <w:r>
        <w:rPr>
          <w:rFonts w:ascii="Times New Roman;Times;serif" w:hAnsi="Times New Roman;Times;serif"/>
          <w:sz w:val="20"/>
        </w:rPr>
        <w:t xml:space="preserve"> ― </w:t>
      </w:r>
      <w:r>
        <w:rPr>
          <w:rFonts w:ascii="Times New Roman;Times;serif" w:hAnsi="Times New Roman;Times;serif"/>
          <w:b/>
          <w:sz w:val="20"/>
        </w:rPr>
        <w:t>FINANCIAL INFORMATION</w:t>
      </w:r>
    </w:p>
    <w:p>
      <w:pPr>
        <w:pStyle w:val="TextBody"/>
        <w:bidi w:val="0"/>
        <w:spacing w:before="0" w:after="0"/>
        <w:ind w:left="0" w:right="0" w:hanging="0"/>
        <w:jc w:val="left"/>
        <w:rPr>
          <w:rFonts w:ascii="Times New Roman;Times;serif" w:hAnsi="Times New Roman;Times;serif"/>
          <w:b/>
          <w:sz w:val="20"/>
        </w:rPr>
      </w:pPr>
      <w:bookmarkStart w:id="35" w:name="ITEM1_621390"/>
      <w:bookmarkEnd w:id="35"/>
      <w:r>
        <w:rPr>
          <w:rFonts w:ascii="Times New Roman;Times;serif" w:hAnsi="Times New Roman;Times;serif"/>
          <w:b/>
          <w:sz w:val="20"/>
        </w:rPr>
        <w:t>Item 1.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b/>
          <w:sz w:val="20"/>
        </w:rPr>
      </w:pPr>
      <w:bookmarkStart w:id="36" w:name="BALANCESHEETS_804694"/>
      <w:bookmarkEnd w:id="36"/>
      <w:r>
        <w:rPr>
          <w:rFonts w:ascii="Times New Roman;Times;serif" w:hAnsi="Times New Roman;Times;serif"/>
          <w:b/>
          <w:sz w:val="20"/>
        </w:rPr>
        <w:t xml:space="preserve">CONDENSED CONSOLIDATED BALANCE SHEETS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360"/>
        <w:ind w:left="0" w:right="0" w:hanging="0"/>
        <w:jc w:val="center"/>
        <w:rPr>
          <w:rFonts w:ascii="Times New Roman;Times;serif" w:hAnsi="Times New Roman;Times;serif"/>
          <w:b/>
          <w:i/>
          <w:sz w:val="20"/>
        </w:rPr>
      </w:pPr>
      <w:r>
        <w:rPr>
          <w:rFonts w:ascii="Times New Roman;Times;serif" w:hAnsi="Times New Roman;Times;serif"/>
          <w:b/>
          <w:i/>
          <w:sz w:val="20"/>
        </w:rPr>
        <w:t>(amounts in thousands)</w:t>
      </w:r>
    </w:p>
    <w:p>
      <w:pPr>
        <w:pStyle w:val="Normal"/>
        <w:bidi w:val="0"/>
        <w:spacing w:before="0" w:after="0"/>
        <w:jc w:val="left"/>
        <w:rPr>
          <w:sz w:val="4"/>
          <w:szCs w:val="4"/>
        </w:rPr>
      </w:pPr>
      <w:r>
        <w:rPr>
          <w:sz w:val="4"/>
          <w:szCs w:val="4"/>
        </w:rPr>
      </w:r>
      <w:bookmarkStart w:id="37" w:name="Tc_1TPB9ohvEEKcggcwB-xk-Q_34_5"/>
      <w:bookmarkStart w:id="38" w:name="Tc_DfzxTiFY0Em3eTi1V4-U8w_34_2"/>
      <w:bookmarkStart w:id="39" w:name="Tc_lJSx0REx10y72fjML_27xw_34_0"/>
      <w:bookmarkStart w:id="40" w:name="Tc_CP6rXO1liEeoP0PbbJg0ag_33_0"/>
      <w:bookmarkStart w:id="41" w:name="Tc_baPGB0c7H0ynWXno8wYCZA_32_0"/>
      <w:bookmarkStart w:id="42" w:name="Tc_gmHdBT4ssUa7MaKXUKH_rg_31_0"/>
      <w:bookmarkStart w:id="43" w:name="Tc_qLCQvTl-pkSXVG1J49bIbQ_30_0"/>
      <w:bookmarkStart w:id="44" w:name="Tc_vZNTd8wN60CChRJC2yf2BQ_29_0"/>
      <w:bookmarkStart w:id="45" w:name="Tc_Mfy2qu_fykGIYpdgqerlfQ_28_0"/>
      <w:bookmarkStart w:id="46" w:name="Tc_zR5g_bEllE-z5cSP5jptZw_27_0"/>
      <w:bookmarkStart w:id="47" w:name="Tc_Bh_ljXRgq0m9iwwbwFq_0Q_26_0"/>
      <w:bookmarkStart w:id="48" w:name="Tc_-jitzT2Yh0mcpFMq-NviDg_25_0"/>
      <w:bookmarkStart w:id="49" w:name="Tc_mJgIgNM1bEiJWlU0vxUzaQ_24_0"/>
      <w:bookmarkStart w:id="50" w:name="Tc_MBCe_rmptkODcCZKuGfpow_23_0"/>
      <w:bookmarkStart w:id="51" w:name="Tc_q79RhgLx5EexjPxOwl2KDA_22_0"/>
      <w:bookmarkStart w:id="52" w:name="Tc_8Hqfr39fp0SkLq07lGOrAg_21_0"/>
      <w:bookmarkStart w:id="53" w:name="Tc_7aOnWKDC0EKGOlUC8sAeKQ_20_0"/>
      <w:bookmarkStart w:id="54" w:name="Tc_AqNu1W951UCY1CIhTqyfCA_19_5"/>
      <w:bookmarkStart w:id="55" w:name="Tc_NHxQmk-s6UeQCH1GsAwyEw_19_2"/>
      <w:bookmarkStart w:id="56" w:name="Tc_Yq60G0e0wkKoU0iOQ95ROg_19_0"/>
      <w:bookmarkStart w:id="57" w:name="Tc_Y5YdlLwc8kOMOKaQNiG_VQ_18_0"/>
      <w:bookmarkStart w:id="58" w:name="Tc_wEKB1_x5dUWZF0zh6KbL7Q_17_0"/>
      <w:bookmarkStart w:id="59" w:name="Tc_zlOFZPMLT0KHm091TNGdbQ_16_5"/>
      <w:bookmarkStart w:id="60" w:name="Tc_XNAW7GDbDEG-gibSDZhKdQ_16_2"/>
      <w:bookmarkStart w:id="61" w:name="Tc_J1KstOC0Y0isDl7ainqeCA_16_0"/>
      <w:bookmarkStart w:id="62" w:name="Tc_U0VMkEp240y422AcG96lUQ_15_0"/>
      <w:bookmarkStart w:id="63" w:name="Tc_UKn7rCFHAk6qCWoV___8VA_14_0"/>
      <w:bookmarkStart w:id="64" w:name="Tc_z4VTS9dsmES-H2y9wBYxqw_13_0"/>
      <w:bookmarkStart w:id="65" w:name="Tc_6fhu4Qb3ZUmy-7AWUlxpzQ_12_0"/>
      <w:bookmarkStart w:id="66" w:name="Tc_xPGboFHhGki1EWFqfyAvpQ_11_0"/>
      <w:bookmarkStart w:id="67" w:name="Tc_I0DZLN7qbk2ShaDZcYr7nQ_10_0"/>
      <w:bookmarkStart w:id="68" w:name="Tc_Y0AuLMh8REarNJTcZ-ccqg_9_0"/>
      <w:bookmarkStart w:id="69" w:name="Tc_z5nWw4Jg1Eq2YeK286Do0A_8_0"/>
      <w:bookmarkStart w:id="70" w:name="Tc_cbiYhnGGaUqgS06vQ7bKFQ_7_0"/>
      <w:bookmarkStart w:id="71" w:name="Tc_GVWihRIdHkytUYgpKL-G5Q_6_0"/>
      <w:bookmarkStart w:id="72" w:name="Tc_oaJNQkMcM0ebmjMX3rCvpw_5_5"/>
      <w:bookmarkStart w:id="73" w:name="Tc_dHTVb_0mI0aTRxTYNEWffA_5_2"/>
      <w:bookmarkStart w:id="74" w:name="Tc_WVMvOhVCOE-dmdLrkmzjAA_5_0"/>
      <w:bookmarkStart w:id="75" w:name="Tc_Y44d-ysVekmLtYpT4ui9aA_4_0"/>
      <w:bookmarkStart w:id="76" w:name="Tc_-LS1o8xVUEq35_5bVe6jhQ_3_0"/>
      <w:bookmarkStart w:id="77" w:name="Tc_Q5ukki_1x0iLdLq4YtoVOQ_2_5"/>
      <w:bookmarkStart w:id="78" w:name="Tc_M-S2aOnjVk6xKSXC2ZgbPA_2_2"/>
      <w:bookmarkStart w:id="79" w:name="Tc_p3r-F4npnU-tJJuYIsrtbw_1_5"/>
      <w:bookmarkStart w:id="80" w:name="Tc_SsqnCPVY_UySux7YIQOAQQ_1_2"/>
      <w:bookmarkStart w:id="81" w:name="_593fa7a1_bdc7_4dc1_896d_1183f9ad9ecf"/>
      <w:bookmarkStart w:id="82" w:name="Tc_1TPB9ohvEEKcggcwB-xk-Q_34_5"/>
      <w:bookmarkStart w:id="83" w:name="Tc_DfzxTiFY0Em3eTi1V4-U8w_34_2"/>
      <w:bookmarkStart w:id="84" w:name="Tc_lJSx0REx10y72fjML_27xw_34_0"/>
      <w:bookmarkStart w:id="85" w:name="Tc_CP6rXO1liEeoP0PbbJg0ag_33_0"/>
      <w:bookmarkStart w:id="86" w:name="Tc_baPGB0c7H0ynWXno8wYCZA_32_0"/>
      <w:bookmarkStart w:id="87" w:name="Tc_gmHdBT4ssUa7MaKXUKH_rg_31_0"/>
      <w:bookmarkStart w:id="88" w:name="Tc_qLCQvTl-pkSXVG1J49bIbQ_30_0"/>
      <w:bookmarkStart w:id="89" w:name="Tc_vZNTd8wN60CChRJC2yf2BQ_29_0"/>
      <w:bookmarkStart w:id="90" w:name="Tc_Mfy2qu_fykGIYpdgqerlfQ_28_0"/>
      <w:bookmarkStart w:id="91" w:name="Tc_zR5g_bEllE-z5cSP5jptZw_27_0"/>
      <w:bookmarkStart w:id="92" w:name="Tc_Bh_ljXRgq0m9iwwbwFq_0Q_26_0"/>
      <w:bookmarkStart w:id="93" w:name="Tc_-jitzT2Yh0mcpFMq-NviDg_25_0"/>
      <w:bookmarkStart w:id="94" w:name="Tc_mJgIgNM1bEiJWlU0vxUzaQ_24_0"/>
      <w:bookmarkStart w:id="95" w:name="Tc_MBCe_rmptkODcCZKuGfpow_23_0"/>
      <w:bookmarkStart w:id="96" w:name="Tc_q79RhgLx5EexjPxOwl2KDA_22_0"/>
      <w:bookmarkStart w:id="97" w:name="Tc_8Hqfr39fp0SkLq07lGOrAg_21_0"/>
      <w:bookmarkStart w:id="98" w:name="Tc_7aOnWKDC0EKGOlUC8sAeKQ_20_0"/>
      <w:bookmarkStart w:id="99" w:name="Tc_AqNu1W951UCY1CIhTqyfCA_19_5"/>
      <w:bookmarkStart w:id="100" w:name="Tc_NHxQmk-s6UeQCH1GsAwyEw_19_2"/>
      <w:bookmarkStart w:id="101" w:name="Tc_Yq60G0e0wkKoU0iOQ95ROg_19_0"/>
      <w:bookmarkStart w:id="102" w:name="Tc_Y5YdlLwc8kOMOKaQNiG_VQ_18_0"/>
      <w:bookmarkStart w:id="103" w:name="Tc_wEKB1_x5dUWZF0zh6KbL7Q_17_0"/>
      <w:bookmarkStart w:id="104" w:name="Tc_zlOFZPMLT0KHm091TNGdbQ_16_5"/>
      <w:bookmarkStart w:id="105" w:name="Tc_XNAW7GDbDEG-gibSDZhKdQ_16_2"/>
      <w:bookmarkStart w:id="106" w:name="Tc_J1KstOC0Y0isDl7ainqeCA_16_0"/>
      <w:bookmarkStart w:id="107" w:name="Tc_U0VMkEp240y422AcG96lUQ_15_0"/>
      <w:bookmarkStart w:id="108" w:name="Tc_UKn7rCFHAk6qCWoV___8VA_14_0"/>
      <w:bookmarkStart w:id="109" w:name="Tc_z4VTS9dsmES-H2y9wBYxqw_13_0"/>
      <w:bookmarkStart w:id="110" w:name="Tc_6fhu4Qb3ZUmy-7AWUlxpzQ_12_0"/>
      <w:bookmarkStart w:id="111" w:name="Tc_xPGboFHhGki1EWFqfyAvpQ_11_0"/>
      <w:bookmarkStart w:id="112" w:name="Tc_I0DZLN7qbk2ShaDZcYr7nQ_10_0"/>
      <w:bookmarkStart w:id="113" w:name="Tc_Y0AuLMh8REarNJTcZ-ccqg_9_0"/>
      <w:bookmarkStart w:id="114" w:name="Tc_z5nWw4Jg1Eq2YeK286Do0A_8_0"/>
      <w:bookmarkStart w:id="115" w:name="Tc_cbiYhnGGaUqgS06vQ7bKFQ_7_0"/>
      <w:bookmarkStart w:id="116" w:name="Tc_GVWihRIdHkytUYgpKL-G5Q_6_0"/>
      <w:bookmarkStart w:id="117" w:name="Tc_oaJNQkMcM0ebmjMX3rCvpw_5_5"/>
      <w:bookmarkStart w:id="118" w:name="Tc_dHTVb_0mI0aTRxTYNEWffA_5_2"/>
      <w:bookmarkStart w:id="119" w:name="Tc_WVMvOhVCOE-dmdLrkmzjAA_5_0"/>
      <w:bookmarkStart w:id="120" w:name="Tc_Y44d-ysVekmLtYpT4ui9aA_4_0"/>
      <w:bookmarkStart w:id="121" w:name="Tc_-LS1o8xVUEq35_5bVe6jhQ_3_0"/>
      <w:bookmarkStart w:id="122" w:name="Tc_Q5ukki_1x0iLdLq4YtoVOQ_2_5"/>
      <w:bookmarkStart w:id="123" w:name="Tc_M-S2aOnjVk6xKSXC2ZgbPA_2_2"/>
      <w:bookmarkStart w:id="124" w:name="Tc_p3r-F4npnU-tJJuYIsrtbw_1_5"/>
      <w:bookmarkStart w:id="125" w:name="Tc_SsqnCPVY_UySux7YIQOAQQ_1_2"/>
      <w:bookmarkStart w:id="126" w:name="_593fa7a1_bdc7_4dc1_896d_1183f9ad9ecf"/>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tbl>
      <w:tblPr>
        <w:tblW w:w="7402" w:type="dxa"/>
        <w:jc w:val="left"/>
        <w:tblInd w:w="0" w:type="dxa"/>
        <w:tblLayout w:type="fixed"/>
        <w:tblCellMar>
          <w:top w:w="0" w:type="dxa"/>
          <w:left w:w="0" w:type="dxa"/>
          <w:bottom w:w="0" w:type="dxa"/>
          <w:right w:w="0" w:type="dxa"/>
        </w:tblCellMar>
      </w:tblPr>
      <w:tblGrid>
        <w:gridCol w:w="4321"/>
        <w:gridCol w:w="346"/>
        <w:gridCol w:w="211"/>
        <w:gridCol w:w="931"/>
        <w:gridCol w:w="346"/>
        <w:gridCol w:w="211"/>
        <w:gridCol w:w="103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43835" cy="175260"/>
                      <wp:effectExtent l="0" t="0" r="0" b="0"/>
                      <wp:wrapNone/>
                      <wp:docPr id="1" name="Frame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4"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7" name="Frame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196,259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193,221</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215,189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213,457</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661,481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648,020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194,294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143,567</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22,607</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1,290,605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1,220,872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46,547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46,912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73,602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73,602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6,981</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1,425,018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1,350,925</w:t>
            </w:r>
          </w:p>
        </w:tc>
      </w:tr>
      <w:tr>
        <w:trPr/>
        <w:tc>
          <w:tcPr>
            <w:tcW w:w="432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396,481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338,202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28,142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30,939</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51,251</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477,205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420,392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19,695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503,326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440,795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146,575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144,608</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918,073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905,890</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(143,164)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(140,741)</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921,692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910,130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1,425,018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1,350,925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07"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See 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7" w:name="_7b7aef7a_b4c8_4eea_9a76_06d9b7444a15"/>
      <w:bookmarkEnd w:id="127"/>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b/>
          <w:sz w:val="20"/>
        </w:rPr>
      </w:pPr>
      <w:bookmarkStart w:id="128" w:name="STATEMENTSOFINCOME_861028"/>
      <w:bookmarkEnd w:id="128"/>
      <w:r>
        <w:rPr>
          <w:rFonts w:ascii="Times New Roman;Times;serif" w:hAnsi="Times New Roman;Times;serif"/>
          <w:b/>
          <w:sz w:val="20"/>
        </w:rPr>
        <w:t xml:space="preserve">CONDENSED CONSOLIDATED STATEMENTS OF INCOME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360"/>
        <w:ind w:left="0" w:right="0" w:hanging="0"/>
        <w:jc w:val="center"/>
        <w:rPr>
          <w:rFonts w:ascii="Times New Roman;Times;serif" w:hAnsi="Times New Roman;Times;serif"/>
          <w:b/>
          <w:i/>
          <w:sz w:val="20"/>
        </w:rPr>
      </w:pPr>
      <w:r>
        <w:rPr>
          <w:rFonts w:ascii="Times New Roman;Times;serif" w:hAnsi="Times New Roman;Times;serif"/>
          <w:b/>
          <w:i/>
          <w:sz w:val="20"/>
        </w:rPr>
        <w:t>(amounts in thousands, except per share data)</w:t>
      </w:r>
    </w:p>
    <w:p>
      <w:pPr>
        <w:pStyle w:val="Normal"/>
        <w:bidi w:val="0"/>
        <w:spacing w:before="0" w:after="0"/>
        <w:jc w:val="left"/>
        <w:rPr>
          <w:sz w:val="4"/>
          <w:szCs w:val="4"/>
        </w:rPr>
      </w:pPr>
      <w:r>
        <w:rPr>
          <w:sz w:val="4"/>
          <w:szCs w:val="4"/>
        </w:rPr>
      </w:r>
      <w:bookmarkStart w:id="129" w:name="Tc_goCUrYggoEi5-H7uDLOOrg_22_0"/>
      <w:bookmarkStart w:id="130" w:name="Tc_tcMfsUoknE2fiqONQk_X2Q_21_0"/>
      <w:bookmarkStart w:id="131" w:name="Tc_R8epujfDgkGn7tIuEN7KbQ_20_0"/>
      <w:bookmarkStart w:id="132" w:name="Tc_XJO9qnZg8ECLyy12fZ7HaQ_18_5"/>
      <w:bookmarkStart w:id="133" w:name="Tc_wLguUstjEE-hhaKnpn6mxA_18_2"/>
      <w:bookmarkStart w:id="134" w:name="Tc_4D7P1WFC6kuUCiyOdvFbyw_18_0"/>
      <w:bookmarkStart w:id="135" w:name="Tc_R4gl_HG8pkuzhtf7_m6h-Q_17_5"/>
      <w:bookmarkStart w:id="136" w:name="Tc_qlp-WnwK00aK5ti6a0wytQ_17_2"/>
      <w:bookmarkStart w:id="137" w:name="Tc_peJZLXBuaUqac3UOr20obA_17_0"/>
      <w:bookmarkStart w:id="138" w:name="Tc_F2pj4dGFok2ZOQVN7dou4A_16_0"/>
      <w:bookmarkStart w:id="139" w:name="Tc_M-36Qw9xlkGHDezfqbZ-zA_14_5"/>
      <w:bookmarkStart w:id="140" w:name="Tc_5c4YYTk47U6M4Jbm4WINGw_14_2"/>
      <w:bookmarkStart w:id="141" w:name="Tc_eBONbxpz6kieub9Q8uwyuw_14_0"/>
      <w:bookmarkStart w:id="142" w:name="Tc_GHl82ns7wU-43ovtFyG49w_13_0"/>
      <w:bookmarkStart w:id="143" w:name="Tc_Hl8WsY7IkEuhWS3vlijOWg_12_0"/>
      <w:bookmarkStart w:id="144" w:name="Tc_TcL9Qg7oeEyUVvGe5Co0gQ_11_3"/>
      <w:bookmarkStart w:id="145" w:name="Tc_IH4XPbdQyU6MedkeeC45aQ_11_0"/>
      <w:bookmarkStart w:id="146" w:name="Tc_2Kxg2oeVqEuaeZIOX3qDSQ_10_0"/>
      <w:bookmarkStart w:id="147" w:name="Tc_sn-VGCMdpkijfhNxCucJyQ_9_0"/>
      <w:bookmarkStart w:id="148" w:name="Tc_1q9Gp6OG6kG-zrAjPurfBg_8_0"/>
      <w:bookmarkStart w:id="149" w:name="Tc_k9NqUjZbtkKJJpKd5NXgeg_7_0"/>
      <w:bookmarkStart w:id="150" w:name="Tc_-f6ri6rFBUW635v_eNSD7w_6_0"/>
      <w:bookmarkStart w:id="151" w:name="Tc_t03t3z2ZzE2ylS6MWH6knw_5_0"/>
      <w:bookmarkStart w:id="152" w:name="Tc_w3WhbMMKi0uOI_tQsLuFkA_4_5"/>
      <w:bookmarkStart w:id="153" w:name="Tc_ACUlotxZXUmZjSQ9FS1PXw_4_2"/>
      <w:bookmarkStart w:id="154" w:name="Tc_VsXkonZ4BU6XlJ5rl8QKcQ_4_0"/>
      <w:bookmarkStart w:id="155" w:name="Tc_YU2OcG3C00qPocXs5rP3oA_3_5"/>
      <w:bookmarkStart w:id="156" w:name="Tc_IAYBxjsXeE6cvWHL07CpcQ_3_2"/>
      <w:bookmarkStart w:id="157" w:name="Tc_K6eJKQYHH0Su7TkCyuPrXw_2_2"/>
      <w:bookmarkStart w:id="158" w:name="Tc_nTZ9So-tUEG3zPgC-GRZdg_1_2"/>
      <w:bookmarkStart w:id="159" w:name="_dbaf1905_79e4_41d8_9fdd_eaaba320a48d"/>
      <w:bookmarkStart w:id="160" w:name="Tc_goCUrYggoEi5-H7uDLOOrg_22_0"/>
      <w:bookmarkStart w:id="161" w:name="Tc_tcMfsUoknE2fiqONQk_X2Q_21_0"/>
      <w:bookmarkStart w:id="162" w:name="Tc_R8epujfDgkGn7tIuEN7KbQ_20_0"/>
      <w:bookmarkStart w:id="163" w:name="Tc_XJO9qnZg8ECLyy12fZ7HaQ_18_5"/>
      <w:bookmarkStart w:id="164" w:name="Tc_wLguUstjEE-hhaKnpn6mxA_18_2"/>
      <w:bookmarkStart w:id="165" w:name="Tc_4D7P1WFC6kuUCiyOdvFbyw_18_0"/>
      <w:bookmarkStart w:id="166" w:name="Tc_R4gl_HG8pkuzhtf7_m6h-Q_17_5"/>
      <w:bookmarkStart w:id="167" w:name="Tc_qlp-WnwK00aK5ti6a0wytQ_17_2"/>
      <w:bookmarkStart w:id="168" w:name="Tc_peJZLXBuaUqac3UOr20obA_17_0"/>
      <w:bookmarkStart w:id="169" w:name="Tc_F2pj4dGFok2ZOQVN7dou4A_16_0"/>
      <w:bookmarkStart w:id="170" w:name="Tc_M-36Qw9xlkGHDezfqbZ-zA_14_5"/>
      <w:bookmarkStart w:id="171" w:name="Tc_5c4YYTk47U6M4Jbm4WINGw_14_2"/>
      <w:bookmarkStart w:id="172" w:name="Tc_eBONbxpz6kieub9Q8uwyuw_14_0"/>
      <w:bookmarkStart w:id="173" w:name="Tc_GHl82ns7wU-43ovtFyG49w_13_0"/>
      <w:bookmarkStart w:id="174" w:name="Tc_Hl8WsY7IkEuhWS3vlijOWg_12_0"/>
      <w:bookmarkStart w:id="175" w:name="Tc_TcL9Qg7oeEyUVvGe5Co0gQ_11_3"/>
      <w:bookmarkStart w:id="176" w:name="Tc_IH4XPbdQyU6MedkeeC45aQ_11_0"/>
      <w:bookmarkStart w:id="177" w:name="Tc_2Kxg2oeVqEuaeZIOX3qDSQ_10_0"/>
      <w:bookmarkStart w:id="178" w:name="Tc_sn-VGCMdpkijfhNxCucJyQ_9_0"/>
      <w:bookmarkStart w:id="179" w:name="Tc_1q9Gp6OG6kG-zrAjPurfBg_8_0"/>
      <w:bookmarkStart w:id="180" w:name="Tc_k9NqUjZbtkKJJpKd5NXgeg_7_0"/>
      <w:bookmarkStart w:id="181" w:name="Tc_-f6ri6rFBUW635v_eNSD7w_6_0"/>
      <w:bookmarkStart w:id="182" w:name="Tc_t03t3z2ZzE2ylS6MWH6knw_5_0"/>
      <w:bookmarkStart w:id="183" w:name="Tc_w3WhbMMKi0uOI_tQsLuFkA_4_5"/>
      <w:bookmarkStart w:id="184" w:name="Tc_ACUlotxZXUmZjSQ9FS1PXw_4_2"/>
      <w:bookmarkStart w:id="185" w:name="Tc_VsXkonZ4BU6XlJ5rl8QKcQ_4_0"/>
      <w:bookmarkStart w:id="186" w:name="Tc_YU2OcG3C00qPocXs5rP3oA_3_5"/>
      <w:bookmarkStart w:id="187" w:name="Tc_IAYBxjsXeE6cvWHL07CpcQ_3_2"/>
      <w:bookmarkStart w:id="188" w:name="Tc_K6eJKQYHH0Su7TkCyuPrXw_2_2"/>
      <w:bookmarkStart w:id="189" w:name="Tc_nTZ9So-tUEG3zPgC-GRZdg_1_2"/>
      <w:bookmarkStart w:id="190" w:name="_dbaf1905_79e4_41d8_9fdd_eaaba320a48d"/>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7597" w:type="dxa"/>
        <w:jc w:val="left"/>
        <w:tblInd w:w="0" w:type="dxa"/>
        <w:tblLayout w:type="fixed"/>
        <w:tblCellMar>
          <w:top w:w="0" w:type="dxa"/>
          <w:left w:w="0" w:type="dxa"/>
          <w:bottom w:w="0" w:type="dxa"/>
          <w:right w:w="0" w:type="dxa"/>
        </w:tblCellMar>
      </w:tblPr>
      <w:tblGrid>
        <w:gridCol w:w="4876"/>
        <w:gridCol w:w="346"/>
        <w:gridCol w:w="211"/>
        <w:gridCol w:w="781"/>
        <w:gridCol w:w="346"/>
        <w:gridCol w:w="211"/>
        <w:gridCol w:w="826"/>
      </w:tblGrid>
      <w:tr>
        <w:trPr/>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096260" cy="175260"/>
                      <wp:effectExtent l="0" t="0" r="0" b="0"/>
                      <wp:wrapNone/>
                      <wp:docPr id="8" name="Frame8"/>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11"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24510" cy="175260"/>
                      <wp:effectExtent l="0" t="0" r="0" b="0"/>
                      <wp:wrapNone/>
                      <wp:docPr id="14" name="Frame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721,866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701,046</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589,129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573,735</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profit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132,737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127,311</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109,452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109,859</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2,930</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14,522</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18,498</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(5,017)</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13,481</w:t>
            </w:r>
          </w:p>
        </w:tc>
      </w:tr>
      <w:tr>
        <w:trPr/>
        <w:tc>
          <w:tcPr>
            <w:tcW w:w="4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common share:</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4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computation of earnings per common share:</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25,201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26,076</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26,218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See 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1" w:name="_cd39188d_aa0a_444d_8a63_cd94c790aca1"/>
      <w:bookmarkEnd w:id="191"/>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sz w:val="20"/>
        </w:rPr>
      </w:pPr>
      <w:bookmarkStart w:id="192" w:name="STATEMENTSOFCOMPREHENSIVEINCOME"/>
      <w:bookmarkEnd w:id="192"/>
      <w:r>
        <w:rPr>
          <w:rFonts w:ascii="Times New Roman;Times;serif" w:hAnsi="Times New Roman;Times;serif"/>
          <w:b/>
          <w:sz w:val="20"/>
        </w:rPr>
        <w:t>CONDENSED CONSOLIDATED STATEMENTS OF OTHER</w:t>
      </w:r>
      <w:r>
        <w:rPr>
          <w:rFonts w:ascii="Times New Roman;Times;serif" w:hAnsi="Times New Roman;Times;serif"/>
          <w:sz w:val="20"/>
        </w:rPr>
        <w:t xml:space="preserve"> </w:t>
      </w:r>
      <w:r>
        <w:rPr>
          <w:rFonts w:ascii="Times New Roman;Times;serif" w:hAnsi="Times New Roman;Times;serif"/>
          <w:b/>
          <w:sz w:val="20"/>
        </w:rPr>
        <w:t xml:space="preserve">COMPREHENSIVE INCOME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360"/>
        <w:ind w:left="0" w:right="0" w:hanging="0"/>
        <w:jc w:val="center"/>
        <w:rPr>
          <w:rFonts w:ascii="Times New Roman;Times;serif" w:hAnsi="Times New Roman;Times;serif"/>
          <w:b/>
          <w:i/>
          <w:sz w:val="20"/>
        </w:rPr>
      </w:pPr>
      <w:r>
        <w:rPr>
          <w:rFonts w:ascii="Times New Roman;Times;serif" w:hAnsi="Times New Roman;Times;serif"/>
          <w:b/>
          <w:i/>
          <w:sz w:val="20"/>
        </w:rPr>
        <w:t>(amounts in thousands)</w:t>
      </w:r>
    </w:p>
    <w:p>
      <w:pPr>
        <w:pStyle w:val="Normal"/>
        <w:bidi w:val="0"/>
        <w:spacing w:before="0" w:after="0"/>
        <w:jc w:val="left"/>
        <w:rPr>
          <w:sz w:val="4"/>
          <w:szCs w:val="4"/>
        </w:rPr>
      </w:pPr>
      <w:r>
        <w:rPr>
          <w:sz w:val="4"/>
          <w:szCs w:val="4"/>
        </w:rPr>
      </w:r>
      <w:bookmarkStart w:id="193" w:name="Tc_Z9nTZY5mrEGVOQfb2qn2Jw_7_5"/>
      <w:bookmarkStart w:id="194" w:name="Tc_MPmAEQ9YDE6h_DdNoNUDKg_7_2"/>
      <w:bookmarkStart w:id="195" w:name="Tc_D2zdpqLgYUic1AgBPAcAxg_7_0"/>
      <w:bookmarkStart w:id="196" w:name="Tc_XfuIuYIL0EaTQywXzJXmZg_6_0"/>
      <w:bookmarkStart w:id="197" w:name="Tc_QYV2jWBW90WBbKiRdCXMUA_5_0"/>
      <w:bookmarkStart w:id="198" w:name="Tc_n4lyRujpVUyl42D7XSQ6Zg_4_5"/>
      <w:bookmarkStart w:id="199" w:name="Tc_9ORpkkK-t0SiMBlolICLGg_4_2"/>
      <w:bookmarkStart w:id="200" w:name="Tc_70cGa0QvV0KEi9LO5VCSRQ_4_0"/>
      <w:bookmarkStart w:id="201" w:name="Tc_8xuQSdVxYUe5zVHLwrSkyw_3_5"/>
      <w:bookmarkStart w:id="202" w:name="Tc_bY29dE_hj0eN424WLv6_AQ_3_2"/>
      <w:bookmarkStart w:id="203" w:name="Tc_IIjrp-TcZkuPtqGkfRGaiQ_2_2"/>
      <w:bookmarkStart w:id="204" w:name="Tc_0kD7b7qcX026ZxGy_zEasg_1_2"/>
      <w:bookmarkStart w:id="205" w:name="_dd2c8ed8_989d_4ce5_8034_803571475d26"/>
      <w:bookmarkStart w:id="206" w:name="Tc_Z9nTZY5mrEGVOQfb2qn2Jw_7_5"/>
      <w:bookmarkStart w:id="207" w:name="Tc_MPmAEQ9YDE6h_DdNoNUDKg_7_2"/>
      <w:bookmarkStart w:id="208" w:name="Tc_D2zdpqLgYUic1AgBPAcAxg_7_0"/>
      <w:bookmarkStart w:id="209" w:name="Tc_XfuIuYIL0EaTQywXzJXmZg_6_0"/>
      <w:bookmarkStart w:id="210" w:name="Tc_QYV2jWBW90WBbKiRdCXMUA_5_0"/>
      <w:bookmarkStart w:id="211" w:name="Tc_n4lyRujpVUyl42D7XSQ6Zg_4_5"/>
      <w:bookmarkStart w:id="212" w:name="Tc_9ORpkkK-t0SiMBlolICLGg_4_2"/>
      <w:bookmarkStart w:id="213" w:name="Tc_70cGa0QvV0KEi9LO5VCSRQ_4_0"/>
      <w:bookmarkStart w:id="214" w:name="Tc_8xuQSdVxYUe5zVHLwrSkyw_3_5"/>
      <w:bookmarkStart w:id="215" w:name="Tc_bY29dE_hj0eN424WLv6_AQ_3_2"/>
      <w:bookmarkStart w:id="216" w:name="Tc_IIjrp-TcZkuPtqGkfRGaiQ_2_2"/>
      <w:bookmarkStart w:id="217" w:name="Tc_0kD7b7qcX026ZxGy_zEasg_1_2"/>
      <w:bookmarkStart w:id="218" w:name="_dd2c8ed8_989d_4ce5_8034_803571475d26"/>
      <w:bookmarkEnd w:id="206"/>
      <w:bookmarkEnd w:id="207"/>
      <w:bookmarkEnd w:id="208"/>
      <w:bookmarkEnd w:id="209"/>
      <w:bookmarkEnd w:id="210"/>
      <w:bookmarkEnd w:id="211"/>
      <w:bookmarkEnd w:id="212"/>
      <w:bookmarkEnd w:id="213"/>
      <w:bookmarkEnd w:id="214"/>
      <w:bookmarkEnd w:id="215"/>
      <w:bookmarkEnd w:id="216"/>
      <w:bookmarkEnd w:id="217"/>
      <w:bookmarkEnd w:id="218"/>
    </w:p>
    <w:tbl>
      <w:tblPr>
        <w:tblW w:w="10205" w:type="dxa"/>
        <w:jc w:val="left"/>
        <w:tblInd w:w="0" w:type="dxa"/>
        <w:tblLayout w:type="fixed"/>
        <w:tblCellMar>
          <w:top w:w="0" w:type="dxa"/>
          <w:left w:w="0" w:type="dxa"/>
          <w:bottom w:w="0" w:type="dxa"/>
          <w:right w:w="0" w:type="dxa"/>
        </w:tblCellMar>
      </w:tblPr>
      <w:tblGrid>
        <w:gridCol w:w="7634"/>
        <w:gridCol w:w="346"/>
        <w:gridCol w:w="211"/>
        <w:gridCol w:w="676"/>
        <w:gridCol w:w="346"/>
        <w:gridCol w:w="211"/>
        <w:gridCol w:w="781"/>
      </w:tblGrid>
      <w:tr>
        <w:trPr/>
        <w:tc>
          <w:tcPr>
            <w:tcW w:w="7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847590" cy="175260"/>
                      <wp:effectExtent l="0" t="0" r="0" b="0"/>
                      <wp:wrapNone/>
                      <wp:docPr id="15" name="Frame15"/>
                      <a:graphic xmlns:a="http://schemas.openxmlformats.org/drawingml/2006/main">
                        <a:graphicData uri="http://schemas.microsoft.com/office/word/2010/wordprocessingShape">
                          <wps:wsp>
                            <wps:cNvSpPr txBox="1"/>
                            <wps:spPr>
                              <a:xfrm>
                                <a:off x="0" y="0"/>
                                <a:ext cx="4847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29260" cy="175260"/>
                      <wp:effectExtent l="0" t="0" r="0" b="0"/>
                      <wp:wrapNone/>
                      <wp:docPr id="18" name="Frame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95935" cy="175260"/>
                      <wp:effectExtent l="0" t="0" r="0" b="0"/>
                      <wp:wrapNone/>
                      <wp:docPr id="21" name="Frame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6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6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13,481</w:t>
            </w:r>
          </w:p>
        </w:tc>
      </w:tr>
      <w:tr>
        <w:trPr/>
        <w:tc>
          <w:tcPr>
            <w:tcW w:w="7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7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losses on available-for-sale investments, net of tax of $44 and $30 for the three months ended March 31, 2026 and 2025, respectively</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7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13,368</w:t>
            </w:r>
          </w:p>
        </w:tc>
      </w:tr>
    </w:tbl>
    <w:p>
      <w:pPr>
        <w:pStyle w:val="TextBody"/>
        <w:bidi w:val="0"/>
        <w:spacing w:before="0" w:after="0"/>
        <w:ind w:left="0" w:right="0" w:hanging="0"/>
        <w:jc w:val="center"/>
        <w:rPr/>
      </w:pPr>
      <w:r>
        <w:rPr/>
        <w:t>​</w:t>
      </w:r>
    </w:p>
    <w:p>
      <w:pPr>
        <w:pStyle w:val="TextBody"/>
        <w:bidi w:val="0"/>
        <w:spacing w:before="0" w:after="36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See 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b/>
          <w:sz w:val="20"/>
        </w:rPr>
      </w:pPr>
      <w:bookmarkStart w:id="219" w:name="_a854b50e_0638_4077_91e2_a0cba18cf9bf"/>
      <w:bookmarkEnd w:id="219"/>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sz w:val="20"/>
        </w:rPr>
      </w:pPr>
      <w:bookmarkStart w:id="220" w:name="STATEMENTSOFEQUITY"/>
      <w:bookmarkEnd w:id="220"/>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(amounts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21" w:name="Tc_7-ytmJQnx0yBxoXRF8PkgA_25_21"/>
      <w:bookmarkStart w:id="222" w:name="Tc_wZbH9Rm8YU-sp-cWTrE7yg_25_18"/>
      <w:bookmarkStart w:id="223" w:name="Tc_awCJ92QnHUq_gum9TuqHxw_25_13"/>
      <w:bookmarkStart w:id="224" w:name="Tc_PmgBeCf-0EGEVERywhBaNQ_25_10"/>
      <w:bookmarkStart w:id="225" w:name="Tc_jwwt5mDp_0y930GjTWZM2g_25_7"/>
      <w:bookmarkStart w:id="226" w:name="Tc_F1B1m1jtU0O-pwjSrg1cwQ_25_4"/>
      <w:bookmarkStart w:id="227" w:name="Tc_yg1m6ElA5kGHoEvihTeRwQ_25_0"/>
      <w:bookmarkStart w:id="228" w:name="Tc_WPtG9a7_5E-gJp1RZExgmQ_24_19"/>
      <w:bookmarkStart w:id="229" w:name="Tc_iieGcSnQAkOYhzKM6X0-vg_24_16"/>
      <w:bookmarkStart w:id="230" w:name="Tc_Ikp2phUs0E6MTVrYX6vCcA_24_11"/>
      <w:bookmarkStart w:id="231" w:name="Tc_P_lXwZXQk0ewz1G8EZoHsA_24_8"/>
      <w:bookmarkStart w:id="232" w:name="Tc_69wDIAp1i0K6XbMfqmWkjw_24_5"/>
      <w:bookmarkStart w:id="233" w:name="Tc_ygIJDdj4XUmp7FpMs7PywA_24_2"/>
      <w:bookmarkStart w:id="234" w:name="Tc_5CQI7U-YZ0i1jtGRqoFpng_24_0"/>
      <w:bookmarkStart w:id="235" w:name="Tc_prJt1oyh8E2_KHK_6KJxBg_23_19"/>
      <w:bookmarkStart w:id="236" w:name="Tc_zvZ8KfwavECraznMTc9AdQ_23_16"/>
      <w:bookmarkStart w:id="237" w:name="Tc_0NK-FFfYHUisALkoG3CnKA_23_14"/>
      <w:bookmarkStart w:id="238" w:name="Tc_rbgeF_5VeEOorwsrQu6RSQ_23_8"/>
      <w:bookmarkStart w:id="239" w:name="Tc_BtqgXDrER0S7FFMb0rsEew_23_5"/>
      <w:bookmarkStart w:id="240" w:name="Tc_w49kWburAUGSEO8cX_JALQ_23_2"/>
      <w:bookmarkStart w:id="241" w:name="Tc_B9SNKDvPxUSLXJ4FNbFw7w_23_0"/>
      <w:bookmarkStart w:id="242" w:name="Tc_94XqsElBF029psjs7oXeVQ_22_19"/>
      <w:bookmarkStart w:id="243" w:name="Tc_tKg8y8wt7UyM84Fq2e08AQ_22_16"/>
      <w:bookmarkStart w:id="244" w:name="Tc_FBtVdV6ykU6rg14vUSn5eQ_22_14"/>
      <w:bookmarkStart w:id="245" w:name="Tc_JGKxrIUkXE2JsEqzE3fKQQ_22_8"/>
      <w:bookmarkStart w:id="246" w:name="Tc_xa4AzPGQi0mOEfAXggyPQA_22_5"/>
      <w:bookmarkStart w:id="247" w:name="Tc_fk4BKVfqTE26xtm7hUBQGg_22_2"/>
      <w:bookmarkStart w:id="248" w:name="Tc_b-6z3jJHk0WHEGXtzoXqrQ_22_0"/>
      <w:bookmarkStart w:id="249" w:name="Tc_7OLDbgJLFUqKTitApU3LCg_21_14"/>
      <w:bookmarkStart w:id="250" w:name="Tc_CQVkOUVvkUeURB0j5fH8hQ_21_11"/>
      <w:bookmarkStart w:id="251" w:name="Tc_lflo8qHWT0GxG8lMrtC0Ew_21_8"/>
      <w:bookmarkStart w:id="252" w:name="Tc_YvbAQfuJskWNhSxiAgP6vQ_21_5"/>
      <w:bookmarkStart w:id="253" w:name="Tc_Xg9fChw800uZPrv1gQo6Rg_21_2"/>
      <w:bookmarkStart w:id="254" w:name="Tc_JKL1oqA3ekOwOdfrdCS6dQ_21_0"/>
      <w:bookmarkStart w:id="255" w:name="Tc_S9duujTfzEaF0AqhqDgwjg_20_19"/>
      <w:bookmarkStart w:id="256" w:name="Tc_oJ4XLA4djk6J5-KOOLt15A_20_16"/>
      <w:bookmarkStart w:id="257" w:name="Tc_iMWpNTDRvkuyfPWELTGi7g_20_14"/>
      <w:bookmarkStart w:id="258" w:name="Tc_coCc0sQDUUWReybBm8OHTQ_20_11"/>
      <w:bookmarkStart w:id="259" w:name="Tc_G9qCTfNQgUSAL49NKgrfuw_20_5"/>
      <w:bookmarkStart w:id="260" w:name="Tc_7PflKr7JbkiUPfEa_9EcnA_20_2"/>
      <w:bookmarkStart w:id="261" w:name="Tc_nyb8-JVZC0WFeq8v5DKO4Q_20_0"/>
      <w:bookmarkStart w:id="262" w:name="Tc_xyWWiElCIUqrwjpH22zS7w_19_22"/>
      <w:bookmarkStart w:id="263" w:name="Tc_soV8mkcGOUuZfwjpzDDtZQ_19_19"/>
      <w:bookmarkStart w:id="264" w:name="Tc_Bvc35TAooU62V400jfNBhg_19_16"/>
      <w:bookmarkStart w:id="265" w:name="Tc_UKR24Usck0aCin7gdc1Ijg_19_14"/>
      <w:bookmarkStart w:id="266" w:name="Tc_MrZpG7fi4ES_g_b3bCKBSA_19_11"/>
      <w:bookmarkStart w:id="267" w:name="Tc_0PWsdV7YRkqa_uBsvRtt6w_19_8"/>
      <w:bookmarkStart w:id="268" w:name="Tc_36Ehykv1EUO8Kt_dCuWU2g_19_5"/>
      <w:bookmarkStart w:id="269" w:name="Tc_793sjbRoDEmjYMCll7v1LA_19_0"/>
      <w:bookmarkStart w:id="270" w:name="Tc_KUVmFoYZAUG-HOLOODPx5w_18_19"/>
      <w:bookmarkStart w:id="271" w:name="Tc_V-RGjaN1fkiBi8a5H6iA-Q_18_16"/>
      <w:bookmarkStart w:id="272" w:name="Tc_FP_1c0dpm0KU7iczeBJWUA_18_14"/>
      <w:bookmarkStart w:id="273" w:name="Tc_iTIbN7WVtUuyrCOKoEMz2g_18_11"/>
      <w:bookmarkStart w:id="274" w:name="Tc_60vc9Fh3TECdZjcQ9jdn2g_18_5"/>
      <w:bookmarkStart w:id="275" w:name="Tc_z8LoqIBc8kSEcc9dQVTkPw_18_2"/>
      <w:bookmarkStart w:id="276" w:name="Tc_M9QcqrdJGEW3b8JVy_6CSQ_18_0"/>
      <w:bookmarkStart w:id="277" w:name="Tc_mjGWHaiGskSvY-z6PRGUnA_17_21"/>
      <w:bookmarkStart w:id="278" w:name="Tc_40qCNWKXz0K_VYCXDAVXEQ_17_18"/>
      <w:bookmarkStart w:id="279" w:name="Tc_fpkzM6xgjEegSqot-Vferw_17_13"/>
      <w:bookmarkStart w:id="280" w:name="Tc_x7vz6Pg90kKGwSxeS0SqMw_17_10"/>
      <w:bookmarkStart w:id="281" w:name="Tc_x32aUIS8x0KJ4kX3blxE6A_17_7"/>
      <w:bookmarkStart w:id="282" w:name="Tc_1ZhVxMQMH02ewnIOuSU2tA_17_4"/>
      <w:bookmarkStart w:id="283" w:name="Tc_zJf38nNwc06mFBdW0iTCmQ_17_0"/>
      <w:bookmarkStart w:id="284" w:name="Tc_CQzhZjNs8k2zGv9DMHnjlw_16_21"/>
      <w:bookmarkStart w:id="285" w:name="Tc_pDnnSyI1eUu1BMce5D25VQ_16_18"/>
      <w:bookmarkStart w:id="286" w:name="Tc_9QbJ05vx302udUwjPwojxw_16_16"/>
      <w:bookmarkStart w:id="287" w:name="Tc_oMxE0HJs602_M8uq_mLFfw_16_13"/>
      <w:bookmarkStart w:id="288" w:name="Tc_NZG5mvfIgUyI8i6RcDPiDA_16_10"/>
      <w:bookmarkStart w:id="289" w:name="Tc_ExlyaVR_U0qqArTf_yjJCQ_16_7"/>
      <w:bookmarkStart w:id="290" w:name="Tc_YVyxP_SsrEeDHszi0Bn76w_16_4"/>
      <w:bookmarkStart w:id="291" w:name="Tc_Rx5G_pG0hEabFSwQqY07AQ_16_2"/>
      <w:bookmarkStart w:id="292" w:name="Tc_i96LihvDfUGMP4OJ5VnReQ_15_16"/>
      <w:bookmarkStart w:id="293" w:name="Tc_KbFNy8dZkUm75KJIsI1FpQ_15_13"/>
      <w:bookmarkStart w:id="294" w:name="Tc_8xs4mzDtFkmK57QpQvLZ_Q_15_10"/>
      <w:bookmarkStart w:id="295" w:name="Tc_nDY4akYEVk-T848kfVs8Qw_15_7"/>
      <w:bookmarkStart w:id="296" w:name="Tc_o3mgLHEJJECSKSTQxbbwwA_15_2"/>
      <w:bookmarkStart w:id="297" w:name="Tc_9P6jt5K9nketXBmloSuZgQ_14_2"/>
      <w:bookmarkStart w:id="298" w:name="Tc_huGULVllHkStpBrWdZd77Q_12_21"/>
      <w:bookmarkStart w:id="299" w:name="Tc_zbCz121g_EetP-5Q-MaIFA_12_18"/>
      <w:bookmarkStart w:id="300" w:name="Tc_PO4MQy6UE0-XTW9kuI7hlg_12_13"/>
      <w:bookmarkStart w:id="301" w:name="Tc_3MP3h-fZkE-DnLhXj6GpOw_12_10"/>
      <w:bookmarkStart w:id="302" w:name="Tc_Y4iFr9mdT0-3rYYKKobcQw_12_7"/>
      <w:bookmarkStart w:id="303" w:name="Tc_z8HqmJO_BUG5U-aXV46Ouw_12_4"/>
      <w:bookmarkStart w:id="304" w:name="Tc_nowfFhSd40q49CSmv_b84Q_12_0"/>
      <w:bookmarkStart w:id="305" w:name="Tc_e6p_OFf3e0ayHlBzfxpozg_11_19"/>
      <w:bookmarkStart w:id="306" w:name="Tc__feE-wBshUC7gYesWQ3hIw_11_16"/>
      <w:bookmarkStart w:id="307" w:name="Tc_bNI71XsLcUu2VWSOirS1OA_11_11"/>
      <w:bookmarkStart w:id="308" w:name="Tc_WZ0WbFzQsEe9O7k3jDmOrw_11_8"/>
      <w:bookmarkStart w:id="309" w:name="Tc_1fBrJ7GazUqHIL_hLc_c5w_11_5"/>
      <w:bookmarkStart w:id="310" w:name="Tc_Kfoxq2S6mkWJBmpfkx_CBw_11_2"/>
      <w:bookmarkStart w:id="311" w:name="Tc_PJs8xT_Kb0OIkAsn1IyAJg_11_0"/>
      <w:bookmarkStart w:id="312" w:name="Tc_tI4dhtB7U0KIjJQ9PNIeDQ_10_19"/>
      <w:bookmarkStart w:id="313" w:name="Tc_b-Npf6c0GUeKeY7pJOtwYA_10_16"/>
      <w:bookmarkStart w:id="314" w:name="Tc_gKIpIbDP4UaxuQpsD5sB0g_10_14"/>
      <w:bookmarkStart w:id="315" w:name="Tc_aykIB7Yn7UGNUJ1j7RqAvw_10_8"/>
      <w:bookmarkStart w:id="316" w:name="Tc_kvvNbUOWCEqwOMkNLQyCQA_10_5"/>
      <w:bookmarkStart w:id="317" w:name="Tc_SJJxUliaekaGDZ7H1PqqWA_10_2"/>
      <w:bookmarkStart w:id="318" w:name="Tc_Qf3K8ya2d0mqVnLbry2OKA_10_0"/>
      <w:bookmarkStart w:id="319" w:name="Tc_lM6ciXY5tE2kjvEg1KmjsQ_9_19"/>
      <w:bookmarkStart w:id="320" w:name="Tc_PZAbmphRfkanZozPFTrNDQ_9_16"/>
      <w:bookmarkStart w:id="321" w:name="Tc_56XykPScA0esiaEwxMe0vA_9_14"/>
      <w:bookmarkStart w:id="322" w:name="Tc_Dj_CKihe_0O5HfP6QHzf4A_9_8"/>
      <w:bookmarkStart w:id="323" w:name="Tc_AJAiDkP540ijwVD6e_ehhg_9_5"/>
      <w:bookmarkStart w:id="324" w:name="Tc_pwQEN-l_7k-iWrR6wcQyrA_9_2"/>
      <w:bookmarkStart w:id="325" w:name="Tc_ktnkwJiMN0-VlslUNZnyiQ_9_0"/>
      <w:bookmarkStart w:id="326" w:name="Tc_lI1WAn7Ttk2qaaU0nMQMzw_8_14"/>
      <w:bookmarkStart w:id="327" w:name="Tc_FvA_Jw3QYkSVhZ55O5Tnbw_8_11"/>
      <w:bookmarkStart w:id="328" w:name="Tc_pTra23WAWEGth9AF337DQA_8_8"/>
      <w:bookmarkStart w:id="329" w:name="Tc_HFHXOm9QX06_WAWsghCLjQ_8_5"/>
      <w:bookmarkStart w:id="330" w:name="Tc_ixeGvxhmGEO7B2XZXcRr4w_8_2"/>
      <w:bookmarkStart w:id="331" w:name="Tc_OS0LQ-a0YUmsoMY47PCQAQ_8_0"/>
      <w:bookmarkStart w:id="332" w:name="Tc_aHj3d-BYG0Ojk62-EadbQA_7_19"/>
      <w:bookmarkStart w:id="333" w:name="Tc_DAyxhbqyB0CUl_dy7ms1YQ_7_16"/>
      <w:bookmarkStart w:id="334" w:name="Tc_6kAziVcXpkCOMo8oW4Q_lQ_7_14"/>
      <w:bookmarkStart w:id="335" w:name="Tc_8lPL_-qVKEq5OVzAonuOTw_7_11"/>
      <w:bookmarkStart w:id="336" w:name="Tc_We8hg2sd70eIDfed0OthKQ_7_5"/>
      <w:bookmarkStart w:id="337" w:name="Tc_pV5SGzk7CkGFewBxuLIp9A_7_2"/>
      <w:bookmarkStart w:id="338" w:name="Tc_VtdTNVRcGUGl4OKNBuA2Tw_7_0"/>
      <w:bookmarkStart w:id="339" w:name="Tc_87ryCC2vYUW1kvrCVAxZIw_6_22"/>
      <w:bookmarkStart w:id="340" w:name="Tc_bO05jH0_kkSM23B_SDbk1w_6_19"/>
      <w:bookmarkStart w:id="341" w:name="Tc_NmpCSSNhqUyc0DwTHz5PNw_6_16"/>
      <w:bookmarkStart w:id="342" w:name="Tc_yz7jbkL7GE2f4gDqPm5n7g_6_14"/>
      <w:bookmarkStart w:id="343" w:name="Tc_vFO8KE-fN0CTYqQ8Qbgxlg_6_11"/>
      <w:bookmarkStart w:id="344" w:name="Tc_3XDp6TaBWUWAxL2fPcKnsA_6_0"/>
      <w:bookmarkStart w:id="345" w:name="Tc_rcENF_OPh0GYKlhgPJPI9w_5_19"/>
      <w:bookmarkStart w:id="346" w:name="Tc_6dshCEirHUWWg8yViaKjmA_5_16"/>
      <w:bookmarkStart w:id="347" w:name="Tc_aAD5EWjAa0WsP-dsWqRPzw_5_14"/>
      <w:bookmarkStart w:id="348" w:name="Tc_OhMW4QkG6UWauOc1y4cBEA_5_11"/>
      <w:bookmarkStart w:id="349" w:name="Tc_jr5WA3MCaEqJ7y5CGKGz7A_5_5"/>
      <w:bookmarkStart w:id="350" w:name="Tc_aCz1b9v_Y0S7YBO7BrX06w_5_2"/>
      <w:bookmarkStart w:id="351" w:name="Tc_V86DV5VhiE6SI-V1CkgN7g_5_0"/>
      <w:bookmarkStart w:id="352" w:name="Tc_U8lqbb2XYESCrZc1ZJYusw_4_21"/>
      <w:bookmarkStart w:id="353" w:name="Tc_eaZ5WW30jk2sbTm6brP63g_4_18"/>
      <w:bookmarkStart w:id="354" w:name="Tc_SXjczDCaL0-ejNel_cn5ow_4_13"/>
      <w:bookmarkStart w:id="355" w:name="Tc_hnxIz0L-_0mKiwpSDWv4fA_4_10"/>
      <w:bookmarkStart w:id="356" w:name="Tc_Xgutf5hyJEazN1tnIZ_l2w_4_7"/>
      <w:bookmarkStart w:id="357" w:name="Tc_dvKqHcgiI0mVcG9gSAUxew_4_4"/>
      <w:bookmarkStart w:id="358" w:name="Tc_RjRo95OVcUOOhwEhaj_eYw_4_0"/>
      <w:bookmarkStart w:id="359" w:name="Tc_CUuw8CkPfU-FJnMb5G9Gdg_3_21"/>
      <w:bookmarkStart w:id="360" w:name="Tc_fcbicbSckUqYARHBHYZqbw_3_18"/>
      <w:bookmarkStart w:id="361" w:name="Tc_MhvMUaHqjUGZ_OHX6y6xoA_3_16"/>
      <w:bookmarkStart w:id="362" w:name="Tc_6IlN8sS_uUKsAT5iunPh4w_3_13"/>
      <w:bookmarkStart w:id="363" w:name="Tc_CoBrRRgQ2E6DlVHcqwDEbg_3_10"/>
      <w:bookmarkStart w:id="364" w:name="Tc_BtnCffu8F0eGhokkaKcRXw_3_7"/>
      <w:bookmarkStart w:id="365" w:name="Tc_0e-4k9rOeUK6rpGqak2TLA_3_4"/>
      <w:bookmarkStart w:id="366" w:name="Tc_EZ-S7Jzq6Ey603ndFVIlaw_3_2"/>
      <w:bookmarkStart w:id="367" w:name="Tc_ZlX_6gRA-Uup1cuDXXlwtw_2_16"/>
      <w:bookmarkStart w:id="368" w:name="Tc_vF5co-jmB0a2N_K9wJUrxQ_2_13"/>
      <w:bookmarkStart w:id="369" w:name="Tc_f5y5VuJ4tUKDSl1QNujhMg_2_10"/>
      <w:bookmarkStart w:id="370" w:name="Tc_WzCLbyhGOEyC63jiT8qLRw_2_7"/>
      <w:bookmarkStart w:id="371" w:name="Tc_bQhkryNnM0mc5ksYZgH2IQ_2_2"/>
      <w:bookmarkStart w:id="372" w:name="Tc_ef0TzFgHfk67XynCSNc0Tw_1_2"/>
      <w:bookmarkStart w:id="373" w:name="_f3b21c4a_4536_4870_8b37_49e3454b63ee"/>
      <w:bookmarkStart w:id="374" w:name="Tc_7-ytmJQnx0yBxoXRF8PkgA_25_21"/>
      <w:bookmarkStart w:id="375" w:name="Tc_wZbH9Rm8YU-sp-cWTrE7yg_25_18"/>
      <w:bookmarkStart w:id="376" w:name="Tc_awCJ92QnHUq_gum9TuqHxw_25_13"/>
      <w:bookmarkStart w:id="377" w:name="Tc_PmgBeCf-0EGEVERywhBaNQ_25_10"/>
      <w:bookmarkStart w:id="378" w:name="Tc_jwwt5mDp_0y930GjTWZM2g_25_7"/>
      <w:bookmarkStart w:id="379" w:name="Tc_F1B1m1jtU0O-pwjSrg1cwQ_25_4"/>
      <w:bookmarkStart w:id="380" w:name="Tc_yg1m6ElA5kGHoEvihTeRwQ_25_0"/>
      <w:bookmarkStart w:id="381" w:name="Tc_WPtG9a7_5E-gJp1RZExgmQ_24_19"/>
      <w:bookmarkStart w:id="382" w:name="Tc_iieGcSnQAkOYhzKM6X0-vg_24_16"/>
      <w:bookmarkStart w:id="383" w:name="Tc_Ikp2phUs0E6MTVrYX6vCcA_24_11"/>
      <w:bookmarkStart w:id="384" w:name="Tc_P_lXwZXQk0ewz1G8EZoHsA_24_8"/>
      <w:bookmarkStart w:id="385" w:name="Tc_69wDIAp1i0K6XbMfqmWkjw_24_5"/>
      <w:bookmarkStart w:id="386" w:name="Tc_ygIJDdj4XUmp7FpMs7PywA_24_2"/>
      <w:bookmarkStart w:id="387" w:name="Tc_5CQI7U-YZ0i1jtGRqoFpng_24_0"/>
      <w:bookmarkStart w:id="388" w:name="Tc_prJt1oyh8E2_KHK_6KJxBg_23_19"/>
      <w:bookmarkStart w:id="389" w:name="Tc_zvZ8KfwavECraznMTc9AdQ_23_16"/>
      <w:bookmarkStart w:id="390" w:name="Tc_0NK-FFfYHUisALkoG3CnKA_23_14"/>
      <w:bookmarkStart w:id="391" w:name="Tc_rbgeF_5VeEOorwsrQu6RSQ_23_8"/>
      <w:bookmarkStart w:id="392" w:name="Tc_BtqgXDrER0S7FFMb0rsEew_23_5"/>
      <w:bookmarkStart w:id="393" w:name="Tc_w49kWburAUGSEO8cX_JALQ_23_2"/>
      <w:bookmarkStart w:id="394" w:name="Tc_B9SNKDvPxUSLXJ4FNbFw7w_23_0"/>
      <w:bookmarkStart w:id="395" w:name="Tc_94XqsElBF029psjs7oXeVQ_22_19"/>
      <w:bookmarkStart w:id="396" w:name="Tc_tKg8y8wt7UyM84Fq2e08AQ_22_16"/>
      <w:bookmarkStart w:id="397" w:name="Tc_FBtVdV6ykU6rg14vUSn5eQ_22_14"/>
      <w:bookmarkStart w:id="398" w:name="Tc_JGKxrIUkXE2JsEqzE3fKQQ_22_8"/>
      <w:bookmarkStart w:id="399" w:name="Tc_xa4AzPGQi0mOEfAXggyPQA_22_5"/>
      <w:bookmarkStart w:id="400" w:name="Tc_fk4BKVfqTE26xtm7hUBQGg_22_2"/>
      <w:bookmarkStart w:id="401" w:name="Tc_b-6z3jJHk0WHEGXtzoXqrQ_22_0"/>
      <w:bookmarkStart w:id="402" w:name="Tc_7OLDbgJLFUqKTitApU3LCg_21_14"/>
      <w:bookmarkStart w:id="403" w:name="Tc_CQVkOUVvkUeURB0j5fH8hQ_21_11"/>
      <w:bookmarkStart w:id="404" w:name="Tc_lflo8qHWT0GxG8lMrtC0Ew_21_8"/>
      <w:bookmarkStart w:id="405" w:name="Tc_YvbAQfuJskWNhSxiAgP6vQ_21_5"/>
      <w:bookmarkStart w:id="406" w:name="Tc_Xg9fChw800uZPrv1gQo6Rg_21_2"/>
      <w:bookmarkStart w:id="407" w:name="Tc_JKL1oqA3ekOwOdfrdCS6dQ_21_0"/>
      <w:bookmarkStart w:id="408" w:name="Tc_S9duujTfzEaF0AqhqDgwjg_20_19"/>
      <w:bookmarkStart w:id="409" w:name="Tc_oJ4XLA4djk6J5-KOOLt15A_20_16"/>
      <w:bookmarkStart w:id="410" w:name="Tc_iMWpNTDRvkuyfPWELTGi7g_20_14"/>
      <w:bookmarkStart w:id="411" w:name="Tc_coCc0sQDUUWReybBm8OHTQ_20_11"/>
      <w:bookmarkStart w:id="412" w:name="Tc_G9qCTfNQgUSAL49NKgrfuw_20_5"/>
      <w:bookmarkStart w:id="413" w:name="Tc_7PflKr7JbkiUPfEa_9EcnA_20_2"/>
      <w:bookmarkStart w:id="414" w:name="Tc_nyb8-JVZC0WFeq8v5DKO4Q_20_0"/>
      <w:bookmarkStart w:id="415" w:name="Tc_xyWWiElCIUqrwjpH22zS7w_19_22"/>
      <w:bookmarkStart w:id="416" w:name="Tc_soV8mkcGOUuZfwjpzDDtZQ_19_19"/>
      <w:bookmarkStart w:id="417" w:name="Tc_Bvc35TAooU62V400jfNBhg_19_16"/>
      <w:bookmarkStart w:id="418" w:name="Tc_UKR24Usck0aCin7gdc1Ijg_19_14"/>
      <w:bookmarkStart w:id="419" w:name="Tc_MrZpG7fi4ES_g_b3bCKBSA_19_11"/>
      <w:bookmarkStart w:id="420" w:name="Tc_0PWsdV7YRkqa_uBsvRtt6w_19_8"/>
      <w:bookmarkStart w:id="421" w:name="Tc_36Ehykv1EUO8Kt_dCuWU2g_19_5"/>
      <w:bookmarkStart w:id="422" w:name="Tc_793sjbRoDEmjYMCll7v1LA_19_0"/>
      <w:bookmarkStart w:id="423" w:name="Tc_KUVmFoYZAUG-HOLOODPx5w_18_19"/>
      <w:bookmarkStart w:id="424" w:name="Tc_V-RGjaN1fkiBi8a5H6iA-Q_18_16"/>
      <w:bookmarkStart w:id="425" w:name="Tc_FP_1c0dpm0KU7iczeBJWUA_18_14"/>
      <w:bookmarkStart w:id="426" w:name="Tc_iTIbN7WVtUuyrCOKoEMz2g_18_11"/>
      <w:bookmarkStart w:id="427" w:name="Tc_60vc9Fh3TECdZjcQ9jdn2g_18_5"/>
      <w:bookmarkStart w:id="428" w:name="Tc_z8LoqIBc8kSEcc9dQVTkPw_18_2"/>
      <w:bookmarkStart w:id="429" w:name="Tc_M9QcqrdJGEW3b8JVy_6CSQ_18_0"/>
      <w:bookmarkStart w:id="430" w:name="Tc_mjGWHaiGskSvY-z6PRGUnA_17_21"/>
      <w:bookmarkStart w:id="431" w:name="Tc_40qCNWKXz0K_VYCXDAVXEQ_17_18"/>
      <w:bookmarkStart w:id="432" w:name="Tc_fpkzM6xgjEegSqot-Vferw_17_13"/>
      <w:bookmarkStart w:id="433" w:name="Tc_x7vz6Pg90kKGwSxeS0SqMw_17_10"/>
      <w:bookmarkStart w:id="434" w:name="Tc_x32aUIS8x0KJ4kX3blxE6A_17_7"/>
      <w:bookmarkStart w:id="435" w:name="Tc_1ZhVxMQMH02ewnIOuSU2tA_17_4"/>
      <w:bookmarkStart w:id="436" w:name="Tc_zJf38nNwc06mFBdW0iTCmQ_17_0"/>
      <w:bookmarkStart w:id="437" w:name="Tc_CQzhZjNs8k2zGv9DMHnjlw_16_21"/>
      <w:bookmarkStart w:id="438" w:name="Tc_pDnnSyI1eUu1BMce5D25VQ_16_18"/>
      <w:bookmarkStart w:id="439" w:name="Tc_9QbJ05vx302udUwjPwojxw_16_16"/>
      <w:bookmarkStart w:id="440" w:name="Tc_oMxE0HJs602_M8uq_mLFfw_16_13"/>
      <w:bookmarkStart w:id="441" w:name="Tc_NZG5mvfIgUyI8i6RcDPiDA_16_10"/>
      <w:bookmarkStart w:id="442" w:name="Tc_ExlyaVR_U0qqArTf_yjJCQ_16_7"/>
      <w:bookmarkStart w:id="443" w:name="Tc_YVyxP_SsrEeDHszi0Bn76w_16_4"/>
      <w:bookmarkStart w:id="444" w:name="Tc_Rx5G_pG0hEabFSwQqY07AQ_16_2"/>
      <w:bookmarkStart w:id="445" w:name="Tc_i96LihvDfUGMP4OJ5VnReQ_15_16"/>
      <w:bookmarkStart w:id="446" w:name="Tc_KbFNy8dZkUm75KJIsI1FpQ_15_13"/>
      <w:bookmarkStart w:id="447" w:name="Tc_8xs4mzDtFkmK57QpQvLZ_Q_15_10"/>
      <w:bookmarkStart w:id="448" w:name="Tc_nDY4akYEVk-T848kfVs8Qw_15_7"/>
      <w:bookmarkStart w:id="449" w:name="Tc_o3mgLHEJJECSKSTQxbbwwA_15_2"/>
      <w:bookmarkStart w:id="450" w:name="Tc_9P6jt5K9nketXBmloSuZgQ_14_2"/>
      <w:bookmarkStart w:id="451" w:name="Tc_huGULVllHkStpBrWdZd77Q_12_21"/>
      <w:bookmarkStart w:id="452" w:name="Tc_zbCz121g_EetP-5Q-MaIFA_12_18"/>
      <w:bookmarkStart w:id="453" w:name="Tc_PO4MQy6UE0-XTW9kuI7hlg_12_13"/>
      <w:bookmarkStart w:id="454" w:name="Tc_3MP3h-fZkE-DnLhXj6GpOw_12_10"/>
      <w:bookmarkStart w:id="455" w:name="Tc_Y4iFr9mdT0-3rYYKKobcQw_12_7"/>
      <w:bookmarkStart w:id="456" w:name="Tc_z8HqmJO_BUG5U-aXV46Ouw_12_4"/>
      <w:bookmarkStart w:id="457" w:name="Tc_nowfFhSd40q49CSmv_b84Q_12_0"/>
      <w:bookmarkStart w:id="458" w:name="Tc_e6p_OFf3e0ayHlBzfxpozg_11_19"/>
      <w:bookmarkStart w:id="459" w:name="Tc__feE-wBshUC7gYesWQ3hIw_11_16"/>
      <w:bookmarkStart w:id="460" w:name="Tc_bNI71XsLcUu2VWSOirS1OA_11_11"/>
      <w:bookmarkStart w:id="461" w:name="Tc_WZ0WbFzQsEe9O7k3jDmOrw_11_8"/>
      <w:bookmarkStart w:id="462" w:name="Tc_1fBrJ7GazUqHIL_hLc_c5w_11_5"/>
      <w:bookmarkStart w:id="463" w:name="Tc_Kfoxq2S6mkWJBmpfkx_CBw_11_2"/>
      <w:bookmarkStart w:id="464" w:name="Tc_PJs8xT_Kb0OIkAsn1IyAJg_11_0"/>
      <w:bookmarkStart w:id="465" w:name="Tc_tI4dhtB7U0KIjJQ9PNIeDQ_10_19"/>
      <w:bookmarkStart w:id="466" w:name="Tc_b-Npf6c0GUeKeY7pJOtwYA_10_16"/>
      <w:bookmarkStart w:id="467" w:name="Tc_gKIpIbDP4UaxuQpsD5sB0g_10_14"/>
      <w:bookmarkStart w:id="468" w:name="Tc_aykIB7Yn7UGNUJ1j7RqAvw_10_8"/>
      <w:bookmarkStart w:id="469" w:name="Tc_kvvNbUOWCEqwOMkNLQyCQA_10_5"/>
      <w:bookmarkStart w:id="470" w:name="Tc_SJJxUliaekaGDZ7H1PqqWA_10_2"/>
      <w:bookmarkStart w:id="471" w:name="Tc_Qf3K8ya2d0mqVnLbry2OKA_10_0"/>
      <w:bookmarkStart w:id="472" w:name="Tc_lM6ciXY5tE2kjvEg1KmjsQ_9_19"/>
      <w:bookmarkStart w:id="473" w:name="Tc_PZAbmphRfkanZozPFTrNDQ_9_16"/>
      <w:bookmarkStart w:id="474" w:name="Tc_56XykPScA0esiaEwxMe0vA_9_14"/>
      <w:bookmarkStart w:id="475" w:name="Tc_Dj_CKihe_0O5HfP6QHzf4A_9_8"/>
      <w:bookmarkStart w:id="476" w:name="Tc_AJAiDkP540ijwVD6e_ehhg_9_5"/>
      <w:bookmarkStart w:id="477" w:name="Tc_pwQEN-l_7k-iWrR6wcQyrA_9_2"/>
      <w:bookmarkStart w:id="478" w:name="Tc_ktnkwJiMN0-VlslUNZnyiQ_9_0"/>
      <w:bookmarkStart w:id="479" w:name="Tc_lI1WAn7Ttk2qaaU0nMQMzw_8_14"/>
      <w:bookmarkStart w:id="480" w:name="Tc_FvA_Jw3QYkSVhZ55O5Tnbw_8_11"/>
      <w:bookmarkStart w:id="481" w:name="Tc_pTra23WAWEGth9AF337DQA_8_8"/>
      <w:bookmarkStart w:id="482" w:name="Tc_HFHXOm9QX06_WAWsghCLjQ_8_5"/>
      <w:bookmarkStart w:id="483" w:name="Tc_ixeGvxhmGEO7B2XZXcRr4w_8_2"/>
      <w:bookmarkStart w:id="484" w:name="Tc_OS0LQ-a0YUmsoMY47PCQAQ_8_0"/>
      <w:bookmarkStart w:id="485" w:name="Tc_aHj3d-BYG0Ojk62-EadbQA_7_19"/>
      <w:bookmarkStart w:id="486" w:name="Tc_DAyxhbqyB0CUl_dy7ms1YQ_7_16"/>
      <w:bookmarkStart w:id="487" w:name="Tc_6kAziVcXpkCOMo8oW4Q_lQ_7_14"/>
      <w:bookmarkStart w:id="488" w:name="Tc_8lPL_-qVKEq5OVzAonuOTw_7_11"/>
      <w:bookmarkStart w:id="489" w:name="Tc_We8hg2sd70eIDfed0OthKQ_7_5"/>
      <w:bookmarkStart w:id="490" w:name="Tc_pV5SGzk7CkGFewBxuLIp9A_7_2"/>
      <w:bookmarkStart w:id="491" w:name="Tc_VtdTNVRcGUGl4OKNBuA2Tw_7_0"/>
      <w:bookmarkStart w:id="492" w:name="Tc_87ryCC2vYUW1kvrCVAxZIw_6_22"/>
      <w:bookmarkStart w:id="493" w:name="Tc_bO05jH0_kkSM23B_SDbk1w_6_19"/>
      <w:bookmarkStart w:id="494" w:name="Tc_NmpCSSNhqUyc0DwTHz5PNw_6_16"/>
      <w:bookmarkStart w:id="495" w:name="Tc_yz7jbkL7GE2f4gDqPm5n7g_6_14"/>
      <w:bookmarkStart w:id="496" w:name="Tc_vFO8KE-fN0CTYqQ8Qbgxlg_6_11"/>
      <w:bookmarkStart w:id="497" w:name="Tc_3XDp6TaBWUWAxL2fPcKnsA_6_0"/>
      <w:bookmarkStart w:id="498" w:name="Tc_rcENF_OPh0GYKlhgPJPI9w_5_19"/>
      <w:bookmarkStart w:id="499" w:name="Tc_6dshCEirHUWWg8yViaKjmA_5_16"/>
      <w:bookmarkStart w:id="500" w:name="Tc_aAD5EWjAa0WsP-dsWqRPzw_5_14"/>
      <w:bookmarkStart w:id="501" w:name="Tc_OhMW4QkG6UWauOc1y4cBEA_5_11"/>
      <w:bookmarkStart w:id="502" w:name="Tc_jr5WA3MCaEqJ7y5CGKGz7A_5_5"/>
      <w:bookmarkStart w:id="503" w:name="Tc_aCz1b9v_Y0S7YBO7BrX06w_5_2"/>
      <w:bookmarkStart w:id="504" w:name="Tc_V86DV5VhiE6SI-V1CkgN7g_5_0"/>
      <w:bookmarkStart w:id="505" w:name="Tc_U8lqbb2XYESCrZc1ZJYusw_4_21"/>
      <w:bookmarkStart w:id="506" w:name="Tc_eaZ5WW30jk2sbTm6brP63g_4_18"/>
      <w:bookmarkStart w:id="507" w:name="Tc_SXjczDCaL0-ejNel_cn5ow_4_13"/>
      <w:bookmarkStart w:id="508" w:name="Tc_hnxIz0L-_0mKiwpSDWv4fA_4_10"/>
      <w:bookmarkStart w:id="509" w:name="Tc_Xgutf5hyJEazN1tnIZ_l2w_4_7"/>
      <w:bookmarkStart w:id="510" w:name="Tc_dvKqHcgiI0mVcG9gSAUxew_4_4"/>
      <w:bookmarkStart w:id="511" w:name="Tc_RjRo95OVcUOOhwEhaj_eYw_4_0"/>
      <w:bookmarkStart w:id="512" w:name="Tc_CUuw8CkPfU-FJnMb5G9Gdg_3_21"/>
      <w:bookmarkStart w:id="513" w:name="Tc_fcbicbSckUqYARHBHYZqbw_3_18"/>
      <w:bookmarkStart w:id="514" w:name="Tc_MhvMUaHqjUGZ_OHX6y6xoA_3_16"/>
      <w:bookmarkStart w:id="515" w:name="Tc_6IlN8sS_uUKsAT5iunPh4w_3_13"/>
      <w:bookmarkStart w:id="516" w:name="Tc_CoBrRRgQ2E6DlVHcqwDEbg_3_10"/>
      <w:bookmarkStart w:id="517" w:name="Tc_BtnCffu8F0eGhokkaKcRXw_3_7"/>
      <w:bookmarkStart w:id="518" w:name="Tc_0e-4k9rOeUK6rpGqak2TLA_3_4"/>
      <w:bookmarkStart w:id="519" w:name="Tc_EZ-S7Jzq6Ey603ndFVIlaw_3_2"/>
      <w:bookmarkStart w:id="520" w:name="Tc_ZlX_6gRA-Uup1cuDXXlwtw_2_16"/>
      <w:bookmarkStart w:id="521" w:name="Tc_vF5co-jmB0a2N_K9wJUrxQ_2_13"/>
      <w:bookmarkStart w:id="522" w:name="Tc_f5y5VuJ4tUKDSl1QNujhMg_2_10"/>
      <w:bookmarkStart w:id="523" w:name="Tc_WzCLbyhGOEyC63jiT8qLRw_2_7"/>
      <w:bookmarkStart w:id="524" w:name="Tc_bQhkryNnM0mc5ksYZgH2IQ_2_2"/>
      <w:bookmarkStart w:id="525" w:name="Tc_ef0TzFgHfk67XynCSNc0Tw_1_2"/>
      <w:bookmarkStart w:id="526" w:name="_f3b21c4a_4536_4870_8b37_49e3454b63ee"/>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tbl>
      <w:tblPr>
        <w:tblW w:w="11270" w:type="dxa"/>
        <w:jc w:val="left"/>
        <w:tblInd w:w="0" w:type="dxa"/>
        <w:tblLayout w:type="fixed"/>
        <w:tblCellMar>
          <w:top w:w="0" w:type="dxa"/>
          <w:left w:w="0" w:type="dxa"/>
          <w:bottom w:w="0" w:type="dxa"/>
          <w:right w:w="0" w:type="dxa"/>
        </w:tblCellMar>
      </w:tblPr>
      <w:tblGrid>
        <w:gridCol w:w="1351"/>
        <w:gridCol w:w="346"/>
        <w:gridCol w:w="601"/>
        <w:gridCol w:w="346"/>
        <w:gridCol w:w="236"/>
        <w:gridCol w:w="455"/>
        <w:gridCol w:w="346"/>
        <w:gridCol w:w="272"/>
        <w:gridCol w:w="959"/>
        <w:gridCol w:w="346"/>
        <w:gridCol w:w="196"/>
        <w:gridCol w:w="691"/>
        <w:gridCol w:w="346"/>
        <w:gridCol w:w="473"/>
        <w:gridCol w:w="743"/>
        <w:gridCol w:w="346"/>
        <w:gridCol w:w="586"/>
        <w:gridCol w:w="346"/>
        <w:gridCol w:w="196"/>
        <w:gridCol w:w="751"/>
        <w:gridCol w:w="346"/>
        <w:gridCol w:w="196"/>
        <w:gridCol w:w="79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857885" cy="175260"/>
                      <wp:effectExtent l="0" t="0" r="0" b="0"/>
                      <wp:wrapNone/>
                      <wp:docPr id="22" name="Frame2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81635" cy="175260"/>
                      <wp:effectExtent l="0" t="0" r="0" b="0"/>
                      <wp:wrapNone/>
                      <wp:docPr id="24" name="Frame2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9860" cy="175260"/>
                      <wp:effectExtent l="0" t="0" r="0" b="0"/>
                      <wp:wrapNone/>
                      <wp:docPr id="26" name="Frame2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88925" cy="175260"/>
                      <wp:effectExtent l="0" t="0" r="0" b="0"/>
                      <wp:wrapNone/>
                      <wp:docPr id="27" name="Frame2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2720" cy="175260"/>
                      <wp:effectExtent l="0" t="0" r="0" b="0"/>
                      <wp:wrapNone/>
                      <wp:docPr id="29" name="Frame2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08965" cy="175260"/>
                      <wp:effectExtent l="0" t="0" r="0" b="0"/>
                      <wp:wrapNone/>
                      <wp:docPr id="30" name="Frame30"/>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8785" cy="175260"/>
                      <wp:effectExtent l="0" t="0" r="0" b="0"/>
                      <wp:wrapNone/>
                      <wp:docPr id="33"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00355" cy="175260"/>
                      <wp:effectExtent l="0" t="0" r="0" b="0"/>
                      <wp:wrapNone/>
                      <wp:docPr id="35" name="Frame35"/>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71805" cy="175260"/>
                      <wp:effectExtent l="0" t="0" r="0" b="0"/>
                      <wp:wrapNone/>
                      <wp:docPr id="36" name="Frame36"/>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72110" cy="175260"/>
                      <wp:effectExtent l="0" t="0" r="0" b="0"/>
                      <wp:wrapNone/>
                      <wp:docPr id="38" name="Frame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76885" cy="175260"/>
                      <wp:effectExtent l="0" t="0" r="0" b="0"/>
                      <wp:wrapNone/>
                      <wp:docPr id="41" name="Frame4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05460" cy="175260"/>
                      <wp:effectExtent l="0" t="0" r="0" b="0"/>
                      <wp:wrapNone/>
                      <wp:docPr id="44" name="Frame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73" w:type="dxa"/>
            <w:gridSpan w:val="2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2026</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w:t>
            </w:r>
          </w:p>
        </w:tc>
        <w:tc>
          <w:tcPr>
            <w:tcW w:w="18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 Income</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29,525</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144,608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905,890</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(140,741)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910,130</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2,639</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2,639</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units vested</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withheld for taxes paid on stock awards</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 for treasury</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(2,423)</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 declaration ($0.20 per share)</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(5,040)</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(5,040)</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17,223</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17,223</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 net of tax</w:t>
            </w:r>
          </w:p>
        </w:tc>
        <w:tc>
          <w:tcPr>
            <w:tcW w:w="346"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346" w:type="dxa"/>
            <w:tcBorders/>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29,566</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146,575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918,073</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(143,164)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921,692</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73" w:type="dxa"/>
            <w:gridSpan w:val="2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w:t>
            </w:r>
          </w:p>
        </w:tc>
        <w:tc>
          <w:tcPr>
            <w:tcW w:w="18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 Income</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29,390</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137,036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837,466</w:t>
            </w:r>
          </w:p>
        </w:tc>
        <w:tc>
          <w:tcPr>
            <w:tcW w:w="346" w:type="dxa"/>
            <w:tcBorders/>
            <w:shd w:fill="CCEEFF" w:val="clear"/>
            <w:vAlign w:val="center"/>
          </w:tcPr>
          <w:p>
            <w:pPr>
              <w:pStyle w:val="TableContents"/>
              <w:bidi w:val="0"/>
              <w:spacing w:before="0" w:after="0"/>
              <w:ind w:left="0" w:right="0" w:hanging="0"/>
              <w:jc w:val="right"/>
              <w:rPr/>
            </w:pPr>
            <w:r>
              <w:rPr/>
              <w:t>​</w:t>
            </w:r>
          </w:p>
        </w:tc>
        <w:tc>
          <w:tcPr>
            <w:tcW w:w="4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(63,980)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910,990</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2,208</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units vested</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3" w:type="dxa"/>
            <w:tcBorders/>
            <w:shd w:fill="CCEEFF" w:val="clear"/>
            <w:vAlign w:val="center"/>
          </w:tcPr>
          <w:p>
            <w:pPr>
              <w:pStyle w:val="TableContents"/>
              <w:bidi w:val="0"/>
              <w:spacing w:before="0" w:after="0"/>
              <w:ind w:left="0" w:right="0" w:hanging="0"/>
              <w:jc w:val="righ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withheld for taxes paid on stock awards</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 for treasury</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3" w:type="dxa"/>
            <w:tcBorders/>
            <w:shd w:fill="CCEEFF" w:val="clear"/>
            <w:vAlign w:val="center"/>
          </w:tcPr>
          <w:p>
            <w:pPr>
              <w:pStyle w:val="TableContents"/>
              <w:bidi w:val="0"/>
              <w:spacing w:before="0" w:after="0"/>
              <w:ind w:left="0" w:right="0" w:hanging="0"/>
              <w:jc w:val="righ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(45,162)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(45,162)</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 declaration ($0.15 per share)</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(3,910)</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(3,910)</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13,481</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13,481</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 net of tax</w:t>
            </w:r>
          </w:p>
        </w:tc>
        <w:tc>
          <w:tcPr>
            <w:tcW w:w="346" w:type="dxa"/>
            <w:tcBorders/>
            <w:vAlign w:val="center"/>
          </w:tcPr>
          <w:p>
            <w:pPr>
              <w:pStyle w:val="TableContents"/>
              <w:bidi w:val="0"/>
              <w:spacing w:before="0" w:after="0"/>
              <w:ind w:left="0" w:right="0" w:hanging="0"/>
              <w:jc w:val="center"/>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47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346" w:type="dxa"/>
            <w:tcBorders/>
            <w:vAlign w:val="center"/>
          </w:tcPr>
          <w:p>
            <w:pPr>
              <w:pStyle w:val="TableContents"/>
              <w:bidi w:val="0"/>
              <w:spacing w:before="0" w:after="0"/>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March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29,415</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138,725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847,037</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(109,142)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876,975</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See 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27" w:name="_b627812a_e782_43aa_a178_9e5988f803ce"/>
      <w:bookmarkEnd w:id="527"/>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b/>
          <w:sz w:val="20"/>
        </w:rPr>
      </w:pPr>
      <w:bookmarkStart w:id="528" w:name="STATEMENTSOFCASHFLOWS_464489"/>
      <w:bookmarkEnd w:id="528"/>
      <w:r>
        <w:rPr>
          <w:rFonts w:ascii="Times New Roman;Times;serif" w:hAnsi="Times New Roman;Times;serif"/>
          <w:b/>
          <w:sz w:val="20"/>
        </w:rPr>
        <w:t xml:space="preserve">CONDENSED CONSOLIDATED STATEMENTS OF CASH FLOWS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(amounts in thousands)</w:t>
      </w:r>
    </w:p>
    <w:p>
      <w:pPr>
        <w:pStyle w:val="TextBody"/>
        <w:bidi w:val="0"/>
        <w:spacing w:before="0" w:after="360"/>
        <w:ind w:left="0" w:right="0" w:hanging="0"/>
        <w:jc w:val="center"/>
        <w:rPr/>
      </w:pPr>
      <w:r>
        <w:rPr/>
        <w:t>​</w:t>
      </w:r>
    </w:p>
    <w:p>
      <w:pPr>
        <w:pStyle w:val="Normal"/>
        <w:bidi w:val="0"/>
        <w:spacing w:before="0" w:after="0"/>
        <w:jc w:val="left"/>
        <w:rPr>
          <w:sz w:val="4"/>
          <w:szCs w:val="4"/>
        </w:rPr>
      </w:pPr>
      <w:r>
        <w:rPr>
          <w:sz w:val="4"/>
          <w:szCs w:val="4"/>
        </w:rPr>
      </w:r>
      <w:bookmarkStart w:id="529" w:name="Tc_vYIJUN2I5UeL7Qj1JjF82g_42_5"/>
      <w:bookmarkStart w:id="530" w:name="Tc_16qveBLrFEquVI2zU2uoWg_42_2"/>
      <w:bookmarkStart w:id="531" w:name="Tc_UOqI1rFvW02RIbOjhnNaGg_42_0"/>
      <w:bookmarkStart w:id="532" w:name="Tc_Sr1fl5iI3EqJkppwVJp7pQ_41_5"/>
      <w:bookmarkStart w:id="533" w:name="Tc_9caVW24Euk641hToQXPliQ_41_3"/>
      <w:bookmarkStart w:id="534" w:name="Tc_CS4zCfrzbE-qJ6fz4iXykQ_41_2"/>
      <w:bookmarkStart w:id="535" w:name="Tc_4dUa0oyN6UGk8IssZzzd5Q_41_0"/>
      <w:bookmarkStart w:id="536" w:name="Tc_-aDQ_Wef30O3ExxeHjbmjQ_40_5"/>
      <w:bookmarkStart w:id="537" w:name="Tc_ewKsAsnlw0ezOPbap5v70w_40_2"/>
      <w:bookmarkStart w:id="538" w:name="Tc_oomaPmZbTEioJN1W7wIWQg_40_0"/>
      <w:bookmarkStart w:id="539" w:name="Tc_8zcPpoJj-UWeau7S6HCqUA_39_0"/>
      <w:bookmarkStart w:id="540" w:name="Tc_Q0Dq6XkMMEihwuD46rITyQ_37_5"/>
      <w:bookmarkStart w:id="541" w:name="Tc_4wHEczd0OkipjU_g3-Bhhg_37_2"/>
      <w:bookmarkStart w:id="542" w:name="Tc_CDoJbk7lLE2FqCfCEW-3HA_37_0"/>
      <w:bookmarkStart w:id="543" w:name="Tc_M3aLVww5Tk-cM8sv8YJgsA_36_0"/>
      <w:bookmarkStart w:id="544" w:name="Tc_sXus8tTUWkC6Gl9YTWfCfA_35_0"/>
      <w:bookmarkStart w:id="545" w:name="Tc_ct7xy_dlKEKto-qWfnpJEQ_34_0"/>
      <w:bookmarkStart w:id="546" w:name="Tc_DOGeS6tI6U-FNtkZDRgeag_33_0"/>
      <w:bookmarkStart w:id="547" w:name="Tc_NCVOF-y1hE-u9jtwLaS7ww_32_0"/>
      <w:bookmarkStart w:id="548" w:name="Tc_osOGX47G3kuFYHIkHaqWZg_31_0"/>
      <w:bookmarkStart w:id="549" w:name="Tc_-O3VlQsIe02k-KGeInxn3A_30_3"/>
      <w:bookmarkStart w:id="550" w:name="Tc_M4BUgf0XbUuIadeESX1K5w_30_0"/>
      <w:bookmarkStart w:id="551" w:name="Tc_9AhCVUuIhkuBb0nZd0181Q_29_3"/>
      <w:bookmarkStart w:id="552" w:name="Tc_ZZDlIlzfikujPy16wFBXBg_29_0"/>
      <w:bookmarkStart w:id="553" w:name="Tc_KVblPbPnrkGwsnCbfKSfKw_28_0"/>
      <w:bookmarkStart w:id="554" w:name="Tc_jZGDCP2YIEG4deeseG_1Zg_27_0"/>
      <w:bookmarkStart w:id="555" w:name="Tc__PSfdTNHdU-kOw0Su8lGdQ_26_0"/>
      <w:bookmarkStart w:id="556" w:name="Tc_BelRLKW69E-bFB8VCMKjBA_25_0"/>
      <w:bookmarkStart w:id="557" w:name="Tc_OI5ZhoiN0EC3KO0gJdSfdg_24_3"/>
      <w:bookmarkStart w:id="558" w:name="Tc_gA0DDlQhFEOc8ceoXssXHg_24_0"/>
      <w:bookmarkStart w:id="559" w:name="Tc_e0sQ_xI3c0aqhxrYSayx8Q_23_0"/>
      <w:bookmarkStart w:id="560" w:name="Tc_YGlPixYJGE63d9lPa037kA_22_0"/>
      <w:bookmarkStart w:id="561" w:name="Tc_bN-nnnSpkki3nHsmf6UYAQ_21_0"/>
      <w:bookmarkStart w:id="562" w:name="Tc_MNShLF3LbUmRvo5eRGjBxQ_20_0"/>
      <w:bookmarkStart w:id="563" w:name="Tc_nXLlA9xp4E-vSE9BBEj9Xg_19_0"/>
      <w:bookmarkStart w:id="564" w:name="Tc_o8UU2WkDX0SIkDmzcJDIgg_18_0"/>
      <w:bookmarkStart w:id="565" w:name="Tc_qnDYJrGrh0y2KkrfnrLckw_17_0"/>
      <w:bookmarkStart w:id="566" w:name="Tc_-ErMgc8sr0icm9Gz4RY1bA_16_0"/>
      <w:bookmarkStart w:id="567" w:name="Tc_bqTRjDZjBUmCFLYDWHIagQ_15_0"/>
      <w:bookmarkStart w:id="568" w:name="Tc_-MmBNP4dfUS7_m7WCsiJaQ_14_0"/>
      <w:bookmarkStart w:id="569" w:name="Tc_jpF_T_UL1EutTGBsls0L2A_13_0"/>
      <w:bookmarkStart w:id="570" w:name="Tc_SBRxYVIC0UGGi9jqB7JDCg_12_3"/>
      <w:bookmarkStart w:id="571" w:name="Tc_yv8afLY450-jhaQTSpGtSA_12_0"/>
      <w:bookmarkStart w:id="572" w:name="Tc_u5W7v78-GEitPVMypnh9OQ_11_0"/>
      <w:bookmarkStart w:id="573" w:name="Tc_23shEoQ2Dk2YHKAjZGC-EA_10_6"/>
      <w:bookmarkStart w:id="574" w:name="Tc_pI75LCvhPkOcMC5fCDfz-g_10_0"/>
      <w:bookmarkStart w:id="575" w:name="Tc_fS6SrUM6k0aU0cXxciSndg_9_0"/>
      <w:bookmarkStart w:id="576" w:name="Tc_ntRgQ8Y_wkiCGPllhK8FIw_8_0"/>
      <w:bookmarkStart w:id="577" w:name="Tc_oxi9Lp2DcE2t-txo8MKeVQ_7_0"/>
      <w:bookmarkStart w:id="578" w:name="Tc_hGRf8uOxCk21zhvs4R3tiQ_6_0"/>
      <w:bookmarkStart w:id="579" w:name="Tc_XEL9EaP42UKlfLuDg7YrGw_5_5"/>
      <w:bookmarkStart w:id="580" w:name="Tc_F76pZd00S068l1bF2VJMeQ_5_2"/>
      <w:bookmarkStart w:id="581" w:name="Tc_Kjye4q2ukUaSYqLQUw66UQ_5_0"/>
      <w:bookmarkStart w:id="582" w:name="Tc_5foGVtjyGUmgJWdTbu7NAQ_4_0"/>
      <w:bookmarkStart w:id="583" w:name="Tc_CZyt_bnUaUaIfiU_Fp94Lg_3_5"/>
      <w:bookmarkStart w:id="584" w:name="Tc_YdCjiF6AWUqWOsPFkyEYyQ_3_2"/>
      <w:bookmarkStart w:id="585" w:name="Tc_V8GOBf5DWEiT6EbSQcS5jw_2_2"/>
      <w:bookmarkStart w:id="586" w:name="Tc_Bip5ZFrzx0KhHN1PSWhKww_1_2"/>
      <w:bookmarkStart w:id="587" w:name="_0a6a1030_c642_47f5_b2f9_8a590f81adfa"/>
      <w:bookmarkStart w:id="588" w:name="Tc_vYIJUN2I5UeL7Qj1JjF82g_42_5"/>
      <w:bookmarkStart w:id="589" w:name="Tc_16qveBLrFEquVI2zU2uoWg_42_2"/>
      <w:bookmarkStart w:id="590" w:name="Tc_UOqI1rFvW02RIbOjhnNaGg_42_0"/>
      <w:bookmarkStart w:id="591" w:name="Tc_Sr1fl5iI3EqJkppwVJp7pQ_41_5"/>
      <w:bookmarkStart w:id="592" w:name="Tc_9caVW24Euk641hToQXPliQ_41_3"/>
      <w:bookmarkStart w:id="593" w:name="Tc_CS4zCfrzbE-qJ6fz4iXykQ_41_2"/>
      <w:bookmarkStart w:id="594" w:name="Tc_4dUa0oyN6UGk8IssZzzd5Q_41_0"/>
      <w:bookmarkStart w:id="595" w:name="Tc_-aDQ_Wef30O3ExxeHjbmjQ_40_5"/>
      <w:bookmarkStart w:id="596" w:name="Tc_ewKsAsnlw0ezOPbap5v70w_40_2"/>
      <w:bookmarkStart w:id="597" w:name="Tc_oomaPmZbTEioJN1W7wIWQg_40_0"/>
      <w:bookmarkStart w:id="598" w:name="Tc_8zcPpoJj-UWeau7S6HCqUA_39_0"/>
      <w:bookmarkStart w:id="599" w:name="Tc_Q0Dq6XkMMEihwuD46rITyQ_37_5"/>
      <w:bookmarkStart w:id="600" w:name="Tc_4wHEczd0OkipjU_g3-Bhhg_37_2"/>
      <w:bookmarkStart w:id="601" w:name="Tc_CDoJbk7lLE2FqCfCEW-3HA_37_0"/>
      <w:bookmarkStart w:id="602" w:name="Tc_M3aLVww5Tk-cM8sv8YJgsA_36_0"/>
      <w:bookmarkStart w:id="603" w:name="Tc_sXus8tTUWkC6Gl9YTWfCfA_35_0"/>
      <w:bookmarkStart w:id="604" w:name="Tc_ct7xy_dlKEKto-qWfnpJEQ_34_0"/>
      <w:bookmarkStart w:id="605" w:name="Tc_DOGeS6tI6U-FNtkZDRgeag_33_0"/>
      <w:bookmarkStart w:id="606" w:name="Tc_NCVOF-y1hE-u9jtwLaS7ww_32_0"/>
      <w:bookmarkStart w:id="607" w:name="Tc_osOGX47G3kuFYHIkHaqWZg_31_0"/>
      <w:bookmarkStart w:id="608" w:name="Tc_-O3VlQsIe02k-KGeInxn3A_30_3"/>
      <w:bookmarkStart w:id="609" w:name="Tc_M4BUgf0XbUuIadeESX1K5w_30_0"/>
      <w:bookmarkStart w:id="610" w:name="Tc_9AhCVUuIhkuBb0nZd0181Q_29_3"/>
      <w:bookmarkStart w:id="611" w:name="Tc_ZZDlIlzfikujPy16wFBXBg_29_0"/>
      <w:bookmarkStart w:id="612" w:name="Tc_KVblPbPnrkGwsnCbfKSfKw_28_0"/>
      <w:bookmarkStart w:id="613" w:name="Tc_jZGDCP2YIEG4deeseG_1Zg_27_0"/>
      <w:bookmarkStart w:id="614" w:name="Tc__PSfdTNHdU-kOw0Su8lGdQ_26_0"/>
      <w:bookmarkStart w:id="615" w:name="Tc_BelRLKW69E-bFB8VCMKjBA_25_0"/>
      <w:bookmarkStart w:id="616" w:name="Tc_OI5ZhoiN0EC3KO0gJdSfdg_24_3"/>
      <w:bookmarkStart w:id="617" w:name="Tc_gA0DDlQhFEOc8ceoXssXHg_24_0"/>
      <w:bookmarkStart w:id="618" w:name="Tc_e0sQ_xI3c0aqhxrYSayx8Q_23_0"/>
      <w:bookmarkStart w:id="619" w:name="Tc_YGlPixYJGE63d9lPa037kA_22_0"/>
      <w:bookmarkStart w:id="620" w:name="Tc_bN-nnnSpkki3nHsmf6UYAQ_21_0"/>
      <w:bookmarkStart w:id="621" w:name="Tc_MNShLF3LbUmRvo5eRGjBxQ_20_0"/>
      <w:bookmarkStart w:id="622" w:name="Tc_nXLlA9xp4E-vSE9BBEj9Xg_19_0"/>
      <w:bookmarkStart w:id="623" w:name="Tc_o8UU2WkDX0SIkDmzcJDIgg_18_0"/>
      <w:bookmarkStart w:id="624" w:name="Tc_qnDYJrGrh0y2KkrfnrLckw_17_0"/>
      <w:bookmarkStart w:id="625" w:name="Tc_-ErMgc8sr0icm9Gz4RY1bA_16_0"/>
      <w:bookmarkStart w:id="626" w:name="Tc_bqTRjDZjBUmCFLYDWHIagQ_15_0"/>
      <w:bookmarkStart w:id="627" w:name="Tc_-MmBNP4dfUS7_m7WCsiJaQ_14_0"/>
      <w:bookmarkStart w:id="628" w:name="Tc_jpF_T_UL1EutTGBsls0L2A_13_0"/>
      <w:bookmarkStart w:id="629" w:name="Tc_SBRxYVIC0UGGi9jqB7JDCg_12_3"/>
      <w:bookmarkStart w:id="630" w:name="Tc_yv8afLY450-jhaQTSpGtSA_12_0"/>
      <w:bookmarkStart w:id="631" w:name="Tc_u5W7v78-GEitPVMypnh9OQ_11_0"/>
      <w:bookmarkStart w:id="632" w:name="Tc_23shEoQ2Dk2YHKAjZGC-EA_10_6"/>
      <w:bookmarkStart w:id="633" w:name="Tc_pI75LCvhPkOcMC5fCDfz-g_10_0"/>
      <w:bookmarkStart w:id="634" w:name="Tc_fS6SrUM6k0aU0cXxciSndg_9_0"/>
      <w:bookmarkStart w:id="635" w:name="Tc_ntRgQ8Y_wkiCGPllhK8FIw_8_0"/>
      <w:bookmarkStart w:id="636" w:name="Tc_oxi9Lp2DcE2t-txo8MKeVQ_7_0"/>
      <w:bookmarkStart w:id="637" w:name="Tc_hGRf8uOxCk21zhvs4R3tiQ_6_0"/>
      <w:bookmarkStart w:id="638" w:name="Tc_XEL9EaP42UKlfLuDg7YrGw_5_5"/>
      <w:bookmarkStart w:id="639" w:name="Tc_F76pZd00S068l1bF2VJMeQ_5_2"/>
      <w:bookmarkStart w:id="640" w:name="Tc_Kjye4q2ukUaSYqLQUw66UQ_5_0"/>
      <w:bookmarkStart w:id="641" w:name="Tc_5foGVtjyGUmgJWdTbu7NAQ_4_0"/>
      <w:bookmarkStart w:id="642" w:name="Tc_CZyt_bnUaUaIfiU_Fp94Lg_3_5"/>
      <w:bookmarkStart w:id="643" w:name="Tc_YdCjiF6AWUqWOsPFkyEYyQ_3_2"/>
      <w:bookmarkStart w:id="644" w:name="Tc_V8GOBf5DWEiT6EbSQcS5jw_2_2"/>
      <w:bookmarkStart w:id="645" w:name="Tc_Bip5ZFrzx0KhHN1PSWhKww_1_2"/>
      <w:bookmarkStart w:id="646" w:name="_0a6a1030_c642_47f5_b2f9_8a590f81adfa"/>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tbl>
      <w:tblPr>
        <w:tblW w:w="10022" w:type="dxa"/>
        <w:jc w:val="left"/>
        <w:tblInd w:w="0" w:type="dxa"/>
        <w:tblLayout w:type="fixed"/>
        <w:tblCellMar>
          <w:top w:w="0" w:type="dxa"/>
          <w:left w:w="0" w:type="dxa"/>
          <w:bottom w:w="0" w:type="dxa"/>
          <w:right w:w="0" w:type="dxa"/>
        </w:tblCellMar>
      </w:tblPr>
      <w:tblGrid>
        <w:gridCol w:w="7471"/>
        <w:gridCol w:w="146"/>
        <w:gridCol w:w="211"/>
        <w:gridCol w:w="796"/>
        <w:gridCol w:w="346"/>
        <w:gridCol w:w="211"/>
        <w:gridCol w:w="841"/>
      </w:tblGrid>
      <w:tr>
        <w:trPr/>
        <w:tc>
          <w:tcPr>
            <w:tcW w:w="7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744085" cy="175260"/>
                      <wp:effectExtent l="0" t="0" r="0" b="0"/>
                      <wp:wrapNone/>
                      <wp:docPr id="45" name="Frame45"/>
                      <a:graphic xmlns:a="http://schemas.openxmlformats.org/drawingml/2006/main">
                        <a:graphicData uri="http://schemas.microsoft.com/office/word/2010/wordprocessingShape">
                          <wps:wsp>
                            <wps:cNvSpPr txBox="1"/>
                            <wps:spPr>
                              <a:xfrm>
                                <a:off x="0" y="0"/>
                                <a:ext cx="474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2710" cy="175260"/>
                      <wp:effectExtent l="0" t="0" r="0" b="0"/>
                      <wp:wrapNone/>
                      <wp:docPr id="46" name="Frame4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5460" cy="175260"/>
                      <wp:effectExtent l="0" t="0" r="0" b="0"/>
                      <wp:wrapNone/>
                      <wp:docPr id="48" name="Frame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34035" cy="175260"/>
                      <wp:effectExtent l="0" t="0" r="0" b="0"/>
                      <wp:wrapNone/>
                      <wp:docPr id="51" name="Frame5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4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4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provided by (used in) Operating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13,481</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(used in) operating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credit losses reserve</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discount on short-term investments, net</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short-term investments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fixed assets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7,054</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(50,727)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(56,738)</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58,086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(26,958)</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7,761</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(52,387)</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(used in) provided by Investing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short-term investments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(54,270)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(52,358)</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short-term investments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108,763</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of short-term investments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104,694</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used in Financing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short-term borrowings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short-term borrowings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common stock for treasury shares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(43,739)</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payments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(3,910)</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payroll taxes on stock-based compensation through shares withheld</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(48,168)</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 and cash equivalents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beginning of period</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193,221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178,318</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end of period</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196,259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182,457</w:t>
            </w:r>
          </w:p>
        </w:tc>
      </w:tr>
      <w:tr>
        <w:trPr/>
        <w:tc>
          <w:tcPr>
            <w:tcW w:w="747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purchases of property and equipment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r>
      <w:tr>
        <w:trPr/>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purchase of treasury shares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excise tax on treasury purchases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432</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115" w:hanging="0"/>
        <w:jc w:val="left"/>
        <w:rPr/>
      </w:pPr>
      <w:r>
        <w:rPr/>
        <w:t>​</w:t>
      </w:r>
    </w:p>
    <w:p>
      <w:pPr>
        <w:pStyle w:val="TextBody"/>
        <w:bidi w:val="0"/>
        <w:spacing w:before="0" w:after="0"/>
        <w:ind w:left="0" w:right="115" w:hanging="0"/>
        <w:jc w:val="left"/>
        <w:rPr/>
      </w:pPr>
      <w:r>
        <w:rPr/>
        <w:t>​</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See 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b/>
          <w:sz w:val="20"/>
        </w:rPr>
      </w:pPr>
      <w:bookmarkStart w:id="647" w:name="NOTESTOUNAUDITEDCONDENSEDCONSOLIDATEDFIN"/>
      <w:bookmarkEnd w:id="647"/>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360"/>
        <w:ind w:left="0" w:right="0" w:hanging="0"/>
        <w:jc w:val="center"/>
        <w:rPr>
          <w:rFonts w:ascii="Times New Roman;Times;serif" w:hAnsi="Times New Roman;Times;serif"/>
          <w:b/>
          <w:i/>
          <w:sz w:val="20"/>
        </w:rPr>
      </w:pPr>
      <w:r>
        <w:rPr>
          <w:rFonts w:ascii="Times New Roman;Times;serif" w:hAnsi="Times New Roman;Times;serif"/>
          <w:b/>
          <w:i/>
          <w:sz w:val="20"/>
        </w:rPr>
        <w:t>(amounts in thousands, except per share data)</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1–Basis of Presentation</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PC Connection, Inc. and its subsidiaries, or the Company, have been prepared pursuant to the rules and regulations of the Securities and Exchange Commission, or SEC, regarding interim financial reporting and in accordance with accounting principles generally accepted in the United States of America, or U.S. GAAP. Such principles were applied on a basis consistent with the accounting policies described in the Company’s Annual Report on Form 10-K for the year ended December 31, 2025, filed with the SEC. The accompanying unaudited condensed consolidated financial statements should be read in conjunction with the audited consolidated financial statements contained in the Company’s Annual Report on Form 10-K for the year ended December 31, 2025.</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of issuance of these financial statements. The operating results for the three months ended March 31, 2026 may not be indicative of the results expected for any succeeding quarter or the entire year ending December 31, 2026.</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Use of Estimates in the Preparation of Financial Statements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These estimates and assumptions affect the reported amounts and disclosures of assets and liabilities and the reported amounts and disclosures of revenue and expenses during the period. Management bases its estimates and judgments on the information available at the time and various other assumptions believed to be reasonable under the circumstances. By nature, estimates are subject to an inherent degree of uncertainty. Actual results could differ from those estimates and assumptions.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Cash and Cash Equivalents and Investments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considers all highly liquid short-term investments with original maturities of 90 days or less to be cash equivalents. The carrying value of the Company’s cash equivalents approximates fair value. Fair value is defined as the price that would be received to sell an asset or paid to transfer a liability in an orderly transaction between market participants at the measurement date.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At the time of purchase, the Company determines the appropriate classification of investments based upon its intent with regard to such investments. All of the Company’s investments are classified as available-for-sale. The Company classifies investments as short-term when their remaining contractual maturities are one year or less from the balance sheet date, and as long-term when the investment has a remaining contractual maturity of more than one year from the balance sheet date. The Company records investments at fair value with unrealized gains and losses recorded as a component of accumulated other comprehensive (loss) income on the condensed consolidated balance sheets.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Included in interest income, net on the condensed consolidated statements of income is interest income on cash equivalents and short-term investments of $3,177 and $3,801 for the three months ended March 31, 2026 and 2025, respectively.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Treasury Stock, at Cost</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total repurchases for the three months ended March 31, 2026 and 2025 were recorded as treasury stock of $2,423 and $45,162, respectively. Such costs reflect the applicable one percent excise tax imposed by the Inflation Reduction Act of 2022 on the net value of certain stock repurchases made after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Severance Expenses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severance expenses recorded for the three months ended March 31, 2026 and 2025 were related to voluntary and involuntary reductions in the Company’s workforce to lower the Company’s cost structure. Both the voluntary and involuntary reductions included cash severance and other related termination benefits. The majority of each of these costs are expected to be paid within a year of the applicable termination. Included in accrued payroll on the condensed consolidated balance sheets as of March 31, 2026 was $1,800 related to unpaid severance expenses.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Recently Issued Financial Accounting Standards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This guidance is intended to provide more detailed disclosure about certain costs and expenses presented in the income statement, including inventory purchases, employee compensation, selling expenses, and depreciation expense. This ASU is effective for the Company’s annual reporting periods beginning January 1, 2027, and for interim reporting periods beginning January 1, 2028, with early adoption permitted. The Company is currently evaluating the impact of the adoption of this standard on its consolidated financial statements.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This guidance provides a practical expedient related to estimating expected credit losses for accounts receivable and contract assets by assuming that current conditions remain unchanged over the life of the asset. This ASU is effective for the Company’s annual reporting periods beginning January 1, 2026, and for interim reporting periods beginning January 1, 2027, with early adoption permitted. The Company is currently evaluating the impact of the adoption of this standard on its consolidated financial statements.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 – Goodwill and Other – Internal-Use Software (Subtopic 350-40): Targeted Improvements to the Accounting for Internal-Use Software</w:t>
      </w:r>
      <w:r>
        <w:rPr>
          <w:rFonts w:ascii="Times New Roman;Times;serif" w:hAnsi="Times New Roman;Times;serif"/>
          <w:sz w:val="20"/>
        </w:rPr>
        <w:t>. This guidance was issued to establish new criteria to be considered for capitalization of software costs under Subtopic 350-40, as well as link the disclosure requirements of Subtopic 360-10 to capitalized costs accounted for under Subtopic 350-40. This ASU is effective for the Company’s annual reporting periods beginning January 1, 2028, and for interim reporting periods beginning January 1, 2029, with early adoption permitted. The Company is currently evaluating the impact of the adoption of this standard on its consolidated financial statements.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This guidance is intended to improve the navigability of required interim disclosures and clarify when the guidance is applicable, as well as provide additional guidance on what disclosures should be provided in interim reporting periods. This ASU is effective for the Company’s interim reporting periods beginning January 1, 2028, with early adoption permitted. The Company is currently evaluating the impact of the adoption of this standard on its condensed consolidated financial statement disclosures.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2–Revenue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disaggregates revenue from its arrangements with customers by type of products and services, as it believes this method best depicts how the nature, amount, timing, and uncertainty of revenue and cash flows are affected by economic factors.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648" w:name="Tc_8mgBbn5SjUek9BF7KGqCBg_11_2"/>
      <w:bookmarkStart w:id="649" w:name="Tc_8iDS_5QNmkC5bV6QwqL7ZQ_11_0"/>
      <w:bookmarkStart w:id="650" w:name="Tc_o6xl85SjdEubS_Qs78_eeA_10_0"/>
      <w:bookmarkStart w:id="651" w:name="Tc_bVSYc680gkCoD7oK4I2loA_9_0"/>
      <w:bookmarkStart w:id="652" w:name="Tc_ZM8ufkJzwkK2u-NkySXI8A_8_2"/>
      <w:bookmarkStart w:id="653" w:name="Tc_aot_48MVHEae4hCjeLqGpQ_8_0"/>
      <w:bookmarkStart w:id="654" w:name="Tc_P8lB4CSKekWL9DX5C7QgBw_7_2"/>
      <w:bookmarkStart w:id="655" w:name="Tc_aKKi6Lg0tUqLmdF1RHkITQ_5_2"/>
      <w:bookmarkStart w:id="656" w:name="Tc_bPRgZkBY4UahupUCRGqlpw_5_0"/>
      <w:bookmarkStart w:id="657" w:name="Tc_YcSpcYcl8k-1Ts_9RHWddQ_4_0"/>
      <w:bookmarkStart w:id="658" w:name="Tc_IQKcC2tnuEShelaYFmcfVA_3_0"/>
      <w:bookmarkStart w:id="659" w:name="Tc_mxdEL_51L0mR-ElfKKqPiw_2_2"/>
      <w:bookmarkStart w:id="660" w:name="Tc_HzeN0XpKukuOejpaNk8lBQ_2_0"/>
      <w:bookmarkStart w:id="661" w:name="Tc_u0bITISFyUWf9l20VjPySA_1_2"/>
      <w:bookmarkStart w:id="662" w:name="_6cfa8b0c_5000_4043_8223_4ef5564972e3"/>
      <w:bookmarkStart w:id="663" w:name="Tc_lbR3TLuX6US5U4CquyWp_Q_2_5"/>
      <w:bookmarkStart w:id="664" w:name="Tc_ONgf3spoQkGksKu8YOREhg_2_2"/>
      <w:bookmarkStart w:id="665" w:name="Tc_W76KPJ8Hr0upUZlYXBxLpw_2_0"/>
      <w:bookmarkStart w:id="666" w:name="Tc_Wxu0lYu3_UOo4MWAACMTiQ_1_5"/>
      <w:bookmarkStart w:id="667" w:name="Tc_REJsaRTJN0WifoE2JxHUVg_1_2"/>
      <w:bookmarkStart w:id="668" w:name="_78d43712_dd97_4c99_9295_243806ff9927"/>
      <w:bookmarkStart w:id="669" w:name="Tc_OZrjVut25k6OapQvjOF31g_11_11"/>
      <w:bookmarkStart w:id="670" w:name="Tc_yEmIYy-FC0uUYDhnIipYTA_11_8"/>
      <w:bookmarkStart w:id="671" w:name="Tc_uN-QGMhXeEaSaxNwE7EkTA_11_5"/>
      <w:bookmarkStart w:id="672" w:name="Tc_Ep8wF6M3qk-AEiA90u1BRw_11_2"/>
      <w:bookmarkStart w:id="673" w:name="Tc_Lj0dLd3qA0qGI7PMrQcOig_11_0"/>
      <w:bookmarkStart w:id="674" w:name="Tc_6Z6nmCSUm02e5TeqIGaL7g_10_0"/>
      <w:bookmarkStart w:id="675" w:name="Tc_XGm1R0fd40C4Xx7UpFZ-MA_9_0"/>
      <w:bookmarkStart w:id="676" w:name="Tc_LVNwSg7JB0y5YaK0BxwZtA_8_0"/>
      <w:bookmarkStart w:id="677" w:name="Tc_iJXa5okpmUewjF4OasvCwA_7_0"/>
      <w:bookmarkStart w:id="678" w:name="Tc_b1sCZsviM0ecFN5ab81wpg_6_0"/>
      <w:bookmarkStart w:id="679" w:name="Tc_nK9vfY9CqU-VvWPT60OFKg_5_0"/>
      <w:bookmarkStart w:id="680" w:name="Tc_2NdK7UdeM0u8fY2J6FkU2w_4_0"/>
      <w:bookmarkStart w:id="681" w:name="Tc_y5sj3Vw9AUGxYe6d_884AQ_3_11"/>
      <w:bookmarkStart w:id="682" w:name="Tc_cNg1Tj4wokC0odSQASwlog_3_8"/>
      <w:bookmarkStart w:id="683" w:name="Tc_2uwVnSwku0m01oXSvOsRRw_3_5"/>
      <w:bookmarkStart w:id="684" w:name="Tc_HAP_yn4VN06D19SY9k_qQA_3_2"/>
      <w:bookmarkStart w:id="685" w:name="Tc_WToJo5JQd0GK2CYTZpNeWQ_3_0"/>
      <w:bookmarkStart w:id="686" w:name="Tc_Onlc7cE4eUqf3OsrZ1jbVg_2_11"/>
      <w:bookmarkStart w:id="687" w:name="Tc_XAngxy39b0-v64PeGJSHGQ_2_8"/>
      <w:bookmarkStart w:id="688" w:name="Tc_OPdyRPdX5UGFb_AeqvDzFw_2_5"/>
      <w:bookmarkStart w:id="689" w:name="Tc_3YEZhkEcsECmib004NYvCw_2_2"/>
      <w:bookmarkStart w:id="690" w:name="Tc_Slo6yJLN8U-qvhO0yB-c5A_1_2"/>
      <w:bookmarkStart w:id="691" w:name="_9f9a9c5f_d487_4843_a60d_a1287930d142"/>
      <w:bookmarkStart w:id="692" w:name="Tc_CGrW0euxnU-wmpyGZD7z4Q_11_11"/>
      <w:bookmarkStart w:id="693" w:name="Tc_kYRgvqbpAkC1wl0R7fQV2A_11_8"/>
      <w:bookmarkStart w:id="694" w:name="Tc_L1N4CIHLU0OFR1976gU4sg_11_5"/>
      <w:bookmarkStart w:id="695" w:name="Tc_nNGWU4EyrUW5ChLuhiMgZg_11_2"/>
      <w:bookmarkStart w:id="696" w:name="Tc_rwSAsR6tFUWVOCIQ4nm91g_11_0"/>
      <w:bookmarkStart w:id="697" w:name="Tc_oQgfW_hgfU-0C5pG1XJzNQ_10_0"/>
      <w:bookmarkStart w:id="698" w:name="Tc_EFsFuZ9EQUuMMudfJlfYQQ_9_0"/>
      <w:bookmarkStart w:id="699" w:name="Tc_iY8kYScMz0m4p8dHKb9rlg_8_0"/>
      <w:bookmarkStart w:id="700" w:name="Tc_Qf3cVqGTE0O8xRNH_6WD0A_7_0"/>
      <w:bookmarkStart w:id="701" w:name="Tc_DxMOdkfdHk2XUVdrKivK5A_6_0"/>
      <w:bookmarkStart w:id="702" w:name="Tc_Ld5vE0aA1UumsD-DVmVrnQ_5_0"/>
      <w:bookmarkStart w:id="703" w:name="Tc_-syXp4-2hUy_dmd37iOFIA_4_0"/>
      <w:bookmarkStart w:id="704" w:name="Tc_r4xdcNt_O0-zpWqKCEQPhw_3_11"/>
      <w:bookmarkStart w:id="705" w:name="Tc_5TMLpabjREiEy5ottaliCA_3_8"/>
      <w:bookmarkStart w:id="706" w:name="Tc_AO7c55X_FU6i5dUIci8WFw_3_5"/>
      <w:bookmarkStart w:id="707" w:name="Tc_c-MQ3YjJY0OwcsWPe2KmwQ_3_2"/>
      <w:bookmarkStart w:id="708" w:name="Tc_SQR_J0m-EUSESNLAUZhFkA_3_0"/>
      <w:bookmarkStart w:id="709" w:name="Tc_vn8UjPz7n0Cyamao-M-naw_2_11"/>
      <w:bookmarkStart w:id="710" w:name="Tc_yTpj2B3s20-W8S_Ax1rI1A_2_8"/>
      <w:bookmarkStart w:id="711" w:name="Tc_RYiyj09g7kKECnI6BrXMzA_2_5"/>
      <w:bookmarkStart w:id="712" w:name="Tc_HEbmUU1YX0SI7ar-AxtdSw_2_2"/>
      <w:bookmarkStart w:id="713" w:name="Tc_PEStzETi2ESd1_oQ-HQAEg_1_2"/>
      <w:bookmarkStart w:id="714" w:name="_4a0b269c_5273_4ab6_8d68_68f099c80031"/>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r>
        <w:rPr>
          <w:rFonts w:ascii="Times New Roman;Times;serif" w:hAnsi="Times New Roman;Times;serif"/>
          <w:sz w:val="20"/>
        </w:rPr>
        <w:t>The following tables represent a disaggregation of revenue from arrangements with customers for the three months ended March 31, 2026 and 2025, along with the segment for each category (in thousands).</w:t>
      </w:r>
    </w:p>
    <w:p>
      <w:pPr>
        <w:pStyle w:val="TextBody"/>
        <w:bidi w:val="0"/>
        <w:spacing w:before="0" w:after="0"/>
        <w:ind w:left="0" w:right="0" w:hanging="0"/>
        <w:jc w:val="left"/>
        <w:rPr/>
      </w:pPr>
      <w:r>
        <w:rPr/>
        <w:t>​</w:t>
      </w:r>
    </w:p>
    <w:tbl>
      <w:tblPr>
        <w:tblW w:w="7410" w:type="dxa"/>
        <w:jc w:val="left"/>
        <w:tblInd w:w="0" w:type="dxa"/>
        <w:tblLayout w:type="fixed"/>
        <w:tblCellMar>
          <w:top w:w="0" w:type="dxa"/>
          <w:left w:w="0" w:type="dxa"/>
          <w:bottom w:w="0" w:type="dxa"/>
          <w:right w:w="0" w:type="dxa"/>
        </w:tblCellMar>
      </w:tblPr>
      <w:tblGrid>
        <w:gridCol w:w="2116"/>
        <w:gridCol w:w="346"/>
        <w:gridCol w:w="211"/>
        <w:gridCol w:w="781"/>
        <w:gridCol w:w="346"/>
        <w:gridCol w:w="211"/>
        <w:gridCol w:w="781"/>
        <w:gridCol w:w="109"/>
        <w:gridCol w:w="253"/>
        <w:gridCol w:w="813"/>
        <w:gridCol w:w="346"/>
        <w:gridCol w:w="211"/>
        <w:gridCol w:w="8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43660" cy="175260"/>
                      <wp:effectExtent l="0" t="0" r="0" b="0"/>
                      <wp:wrapNone/>
                      <wp:docPr id="52" name="Frame52"/>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55" name="Frame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95935" cy="175260"/>
                      <wp:effectExtent l="0" t="0" r="0" b="0"/>
                      <wp:wrapNone/>
                      <wp:docPr id="58" name="Frame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60655" cy="175260"/>
                      <wp:effectExtent l="0" t="0" r="0" b="0"/>
                      <wp:wrapNone/>
                      <wp:docPr id="60" name="Frame6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16255" cy="175260"/>
                      <wp:effectExtent l="0" t="0" r="0" b="0"/>
                      <wp:wrapNone/>
                      <wp:docPr id="61" name="Frame61"/>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62610" cy="175260"/>
                      <wp:effectExtent l="0" t="0" r="0" b="0"/>
                      <wp:wrapNone/>
                      <wp:docPr id="64" name="Frame6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4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2026</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Notebooks/Mobility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104,579</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264,950</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Desktops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25,255</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87,113</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39,704</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78,461</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Servers/Storage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20,413</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45,073</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Net/Com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20,662</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49,988</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Displays and Sound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19,798</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57,463</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23,901</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80,076</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Hardware/Services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21,250</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58,742</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275,562</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721,866</w:t>
            </w:r>
          </w:p>
        </w:tc>
      </w:tr>
    </w:tbl>
    <w:p>
      <w:pPr>
        <w:pStyle w:val="TextBody"/>
        <w:bidi w:val="0"/>
        <w:spacing w:before="0" w:after="0"/>
        <w:ind w:left="0" w:right="0" w:hanging="0"/>
        <w:jc w:val="left"/>
        <w:rPr/>
      </w:pPr>
      <w:r>
        <w:rPr/>
        <w:t>​</w:t>
      </w:r>
    </w:p>
    <w:tbl>
      <w:tblPr>
        <w:tblW w:w="7410" w:type="dxa"/>
        <w:jc w:val="left"/>
        <w:tblInd w:w="0" w:type="dxa"/>
        <w:tblLayout w:type="fixed"/>
        <w:tblCellMar>
          <w:top w:w="0" w:type="dxa"/>
          <w:left w:w="0" w:type="dxa"/>
          <w:bottom w:w="0" w:type="dxa"/>
          <w:right w:w="0" w:type="dxa"/>
        </w:tblCellMar>
      </w:tblPr>
      <w:tblGrid>
        <w:gridCol w:w="2116"/>
        <w:gridCol w:w="346"/>
        <w:gridCol w:w="211"/>
        <w:gridCol w:w="781"/>
        <w:gridCol w:w="346"/>
        <w:gridCol w:w="211"/>
        <w:gridCol w:w="781"/>
        <w:gridCol w:w="109"/>
        <w:gridCol w:w="226"/>
        <w:gridCol w:w="840"/>
        <w:gridCol w:w="346"/>
        <w:gridCol w:w="211"/>
        <w:gridCol w:w="8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43660" cy="175260"/>
                      <wp:effectExtent l="0" t="0" r="0" b="0"/>
                      <wp:wrapNone/>
                      <wp:docPr id="65" name="Frame65"/>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5935" cy="175260"/>
                      <wp:effectExtent l="0" t="0" r="0" b="0"/>
                      <wp:wrapNone/>
                      <wp:docPr id="68" name="Frame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71" name="Frame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3510" cy="175260"/>
                      <wp:effectExtent l="0" t="0" r="0" b="0"/>
                      <wp:wrapNone/>
                      <wp:docPr id="73" name="Frame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33400" cy="175260"/>
                      <wp:effectExtent l="0" t="0" r="0" b="0"/>
                      <wp:wrapNone/>
                      <wp:docPr id="74" name="Frame74"/>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62610" cy="175260"/>
                      <wp:effectExtent l="0" t="0" r="0" b="0"/>
                      <wp:wrapNone/>
                      <wp:docPr id="77" name="Frame7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4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Notebooks/Mobility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102,346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257,466</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Desktops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90,124</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74,363</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Servers/Storage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20,290</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50,127</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Net/Com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46,122</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Displays and Sound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19,308</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52,862</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23,660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79,196</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Hardware/Services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18,787</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50,786</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258,385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701,046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Balances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about contract liabilities from arrangements with customers as of March 31, 2026 and December 31,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706"/>
        <w:gridCol w:w="346"/>
        <w:gridCol w:w="299"/>
        <w:gridCol w:w="962"/>
        <w:gridCol w:w="346"/>
        <w:gridCol w:w="367"/>
        <w:gridCol w:w="1179"/>
      </w:tblGrid>
      <w:tr>
        <w:trPr/>
        <w:tc>
          <w:tcPr>
            <w:tcW w:w="6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258310" cy="175260"/>
                      <wp:effectExtent l="0" t="0" r="0" b="0"/>
                      <wp:wrapNone/>
                      <wp:docPr id="78" name="Frame78"/>
                      <a:graphic xmlns:a="http://schemas.openxmlformats.org/drawingml/2006/main">
                        <a:graphicData uri="http://schemas.microsoft.com/office/word/2010/wordprocessingShape">
                          <wps:wsp>
                            <wps:cNvSpPr txBox="1"/>
                            <wps:spPr>
                              <a:xfrm>
                                <a:off x="0" y="0"/>
                                <a:ext cx="425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9865" cy="175260"/>
                      <wp:effectExtent l="0" t="0" r="0" b="0"/>
                      <wp:wrapNone/>
                      <wp:docPr id="80" name="Frame8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10870" cy="175260"/>
                      <wp:effectExtent l="0" t="0" r="0" b="0"/>
                      <wp:wrapNone/>
                      <wp:docPr id="81" name="Frame81"/>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33045" cy="175260"/>
                      <wp:effectExtent l="0" t="0" r="0" b="0"/>
                      <wp:wrapNone/>
                      <wp:docPr id="83" name="Frame8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48665" cy="175260"/>
                      <wp:effectExtent l="0" t="0" r="0" b="0"/>
                      <wp:wrapNone/>
                      <wp:docPr id="84" name="Frame84"/>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which are included in "Accrued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11,235</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contract liability balances during the three months ended March 31, 2026 and 2025 are as follows (in thousands):</w:t>
      </w:r>
    </w:p>
    <w:tbl>
      <w:tblPr>
        <w:tblW w:w="7054" w:type="dxa"/>
        <w:jc w:val="left"/>
        <w:tblInd w:w="0" w:type="dxa"/>
        <w:tblLayout w:type="fixed"/>
        <w:tblCellMar>
          <w:top w:w="0" w:type="dxa"/>
          <w:left w:w="0" w:type="dxa"/>
          <w:bottom w:w="0" w:type="dxa"/>
          <w:right w:w="0" w:type="dxa"/>
        </w:tblCellMar>
      </w:tblPr>
      <w:tblGrid>
        <w:gridCol w:w="5656"/>
        <w:gridCol w:w="346"/>
        <w:gridCol w:w="211"/>
        <w:gridCol w:w="841"/>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591560" cy="175260"/>
                      <wp:effectExtent l="0" t="0" r="0" b="0"/>
                      <wp:wrapNone/>
                      <wp:docPr id="85" name="Frame85"/>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34035" cy="175260"/>
                      <wp:effectExtent l="0" t="0" r="0" b="0"/>
                      <wp:wrapNone/>
                      <wp:docPr id="88" name="Frame8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in advance and not recognized as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8,359</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recognized as revenue as performance obligations satisfied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(5,925)</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11,235</w:t>
            </w:r>
          </w:p>
        </w:tc>
      </w:tr>
      <w:tr>
        <w:trPr/>
        <w:tc>
          <w:tcPr>
            <w:tcW w:w="5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5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10,290</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in advance and not recognized as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16,201</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recognized as revenue as performance obligations satisfied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(10,391)</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15" w:name="_030de487_7247_487d_b81e_eb4795975273_3"/>
      <w:bookmarkStart w:id="716" w:name="_030de487_7247_487d_b81e_eb4795975273_2"/>
      <w:bookmarkStart w:id="717" w:name="_030de487_7247_487d_b81e_eb4795975273"/>
      <w:bookmarkStart w:id="718" w:name="Tc_u6Y7VIcCQke73EbWCFnAXQ_15_11"/>
      <w:bookmarkStart w:id="719" w:name="Tc_YanFgHptOk62R5M9D6gfMQ_15_9"/>
      <w:bookmarkStart w:id="720" w:name="Tc_07qgosiwyEKsGQvAFjGYBg_15_8"/>
      <w:bookmarkStart w:id="721" w:name="Tc_rc-1ZUfyqEiPHFvGInpqfg_15_5"/>
      <w:bookmarkStart w:id="722" w:name="Tc_LAgECXY1oUqspBfVro1MIA_15_2"/>
      <w:bookmarkStart w:id="723" w:name="Tc_AGEiIRKhzkeTCgDgR_YnEg_15_0"/>
      <w:bookmarkStart w:id="724" w:name="Tc_R0bO6Fn2NUio9Bd58ue2iw_14_9"/>
      <w:bookmarkStart w:id="725" w:name="Tc_6LO-enqIWUivV_15HPt5Ng_14_0"/>
      <w:bookmarkStart w:id="726" w:name="Tc_AXuWFUQzREGrLpkt-QAqWg_13_0"/>
      <w:bookmarkStart w:id="727" w:name="Tc_mZbyoN-9QU-CS71qlVS5ZQ_12_11"/>
      <w:bookmarkStart w:id="728" w:name="Tc__OaW14_CYkSjKuGJ0PESxw_12_9"/>
      <w:bookmarkStart w:id="729" w:name="Tc_HNX7jcjH_0CxDIJ7rGI8Yw_12_8"/>
      <w:bookmarkStart w:id="730" w:name="Tc_Xi88FGAE8kmWkBCFAf6woQ_12_6"/>
      <w:bookmarkStart w:id="731" w:name="Tc_1CWYR9FfwkC3RZdVPR1NhA_12_5"/>
      <w:bookmarkStart w:id="732" w:name="Tc_vaWrIaeD7keQkFh-qV-RUw_12_2"/>
      <w:bookmarkStart w:id="733" w:name="Tc_WL7n0rRd3U2ujKjNYHYNlw_12_0"/>
      <w:bookmarkStart w:id="734" w:name="Tc_TkaiYifS6kWvtMXwJu4HuA_11_0"/>
      <w:bookmarkStart w:id="735" w:name="Tc_DaUHEwBg3km_VdOBjeXXIw_10_11"/>
      <w:bookmarkStart w:id="736" w:name="Tc_F7f3bemomUaawiTzopPfrg_10_8"/>
      <w:bookmarkStart w:id="737" w:name="Tc_ds6Dl3V9Rky4kDrj5KcAxg_10_5"/>
      <w:bookmarkStart w:id="738" w:name="Tc_LA6GkxRWYUSrZhajav66Zw_10_2"/>
      <w:bookmarkStart w:id="739" w:name="Tc_lHs2Fi0-cUyyVyC-RhAHcQ_9_2"/>
      <w:bookmarkStart w:id="740" w:name="Tc_cwmQYrs4rUCz7v4AcRr0gA_7_11"/>
      <w:bookmarkStart w:id="741" w:name="Tc_mtS6Y2L6YkOuzBpR404VuQ_7_8"/>
      <w:bookmarkStart w:id="742" w:name="Tc_qsWWKBYsQkKREgarGuMjQw_7_5"/>
      <w:bookmarkStart w:id="743" w:name="Tc_Q4gjtoM8MU-mhkMOdBXaaA_7_2"/>
      <w:bookmarkStart w:id="744" w:name="Tc_R7pig5AL4UyP8aZJ41AcSQ_7_0"/>
      <w:bookmarkStart w:id="745" w:name="Tc_0MJUMOsUNkKaLM8PZd0Kdw_6_0"/>
      <w:bookmarkStart w:id="746" w:name="Tc_mVGSSOJevEiqrybPS6C-Sg_5_0"/>
      <w:bookmarkStart w:id="747" w:name="Tc_1dA4Q-gfJkOFJEoTK9Uc4A_4_11"/>
      <w:bookmarkStart w:id="748" w:name="Tc_ylImjtQN2EWWfm7C0t3A_A_4_9"/>
      <w:bookmarkStart w:id="749" w:name="Tc_4DuIWkhWXEKXjvGmjk5EpA_4_8"/>
      <w:bookmarkStart w:id="750" w:name="Tc_IQxkFejSOkKRiPfyjKfooQ_4_6"/>
      <w:bookmarkStart w:id="751" w:name="Tc_o742iysMaE6up2l-PZdx5w_4_5"/>
      <w:bookmarkStart w:id="752" w:name="Tc_u888rMtSHkO0TQeISGdigg_4_2"/>
      <w:bookmarkStart w:id="753" w:name="Tc_1GanUiafZ0GcC1Jq24WyNQ_4_0"/>
      <w:bookmarkStart w:id="754" w:name="Tc_CTG6cSW28EWdLVNCoqgBrw_3_0"/>
      <w:bookmarkStart w:id="755" w:name="Tc_Dj_jIa63HEGbUee3fcGGZA_2_11"/>
      <w:bookmarkStart w:id="756" w:name="Tc_SYknom46LEuUQJIrRLSp5A_2_8"/>
      <w:bookmarkStart w:id="757" w:name="Tc_POsBTYaaCkSG-2nsJFQLzg_2_5"/>
      <w:bookmarkStart w:id="758" w:name="Tc_GLMT-3KZRECqN73zMt3t-w_2_2"/>
      <w:bookmarkStart w:id="759" w:name="Tc_nyV9p8O2CkiODmNfrkUJ2w_1_2"/>
      <w:bookmarkStart w:id="760" w:name="_1c83c1d0_91c0_4a45_b89e_2307ba40e97f"/>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r>
        <w:rPr>
          <w:rFonts w:ascii="Times New Roman;Times;serif" w:hAnsi="Times New Roman;Times;serif"/>
          <w:b/>
          <w:sz w:val="20"/>
        </w:rPr>
        <w:t>Note 3–Fair Value Measurements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equivalents and short-term investments as of March 31, 2026 and December 31, 2025 consist of the following (in thousands):</w:t>
      </w:r>
    </w:p>
    <w:p>
      <w:pPr>
        <w:pStyle w:val="TextBody"/>
        <w:bidi w:val="0"/>
        <w:spacing w:before="0" w:after="0"/>
        <w:ind w:left="0" w:right="0" w:firstLine="360"/>
        <w:jc w:val="left"/>
        <w:rPr/>
      </w:pPr>
      <w:r>
        <w:rPr/>
        <w:t>​</w:t>
      </w:r>
    </w:p>
    <w:tbl>
      <w:tblPr>
        <w:tblW w:w="9457" w:type="dxa"/>
        <w:jc w:val="left"/>
        <w:tblInd w:w="0" w:type="dxa"/>
        <w:tblLayout w:type="fixed"/>
        <w:tblCellMar>
          <w:top w:w="0" w:type="dxa"/>
          <w:left w:w="0" w:type="dxa"/>
          <w:bottom w:w="0" w:type="dxa"/>
          <w:right w:w="0" w:type="dxa"/>
        </w:tblCellMar>
      </w:tblPr>
      <w:tblGrid>
        <w:gridCol w:w="3001"/>
        <w:gridCol w:w="346"/>
        <w:gridCol w:w="265"/>
        <w:gridCol w:w="980"/>
        <w:gridCol w:w="346"/>
        <w:gridCol w:w="510"/>
        <w:gridCol w:w="840"/>
        <w:gridCol w:w="346"/>
        <w:gridCol w:w="420"/>
        <w:gridCol w:w="960"/>
        <w:gridCol w:w="346"/>
        <w:gridCol w:w="211"/>
        <w:gridCol w:w="88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05635" cy="175260"/>
                      <wp:effectExtent l="0" t="0" r="0" b="0"/>
                      <wp:wrapNone/>
                      <wp:docPr id="89" name="Frame89"/>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68275" cy="175260"/>
                      <wp:effectExtent l="0" t="0" r="0" b="0"/>
                      <wp:wrapNone/>
                      <wp:docPr id="91" name="Frame9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22300" cy="175260"/>
                      <wp:effectExtent l="0" t="0" r="0" b="0"/>
                      <wp:wrapNone/>
                      <wp:docPr id="92" name="Frame92"/>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23850" cy="175260"/>
                      <wp:effectExtent l="0" t="0" r="0" b="0"/>
                      <wp:wrapNone/>
                      <wp:docPr id="94" name="Frame94"/>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33400" cy="175260"/>
                      <wp:effectExtent l="0" t="0" r="0" b="0"/>
                      <wp:wrapNone/>
                      <wp:docPr id="95" name="Frame9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66700" cy="175260"/>
                      <wp:effectExtent l="0" t="0" r="0" b="0"/>
                      <wp:wrapNone/>
                      <wp:docPr id="97" name="Frame97"/>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09600" cy="175260"/>
                      <wp:effectExtent l="0" t="0" r="0" b="0"/>
                      <wp:wrapNone/>
                      <wp:docPr id="98" name="Frame98"/>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62610" cy="175260"/>
                      <wp:effectExtent l="0" t="0" r="0" b="0"/>
                      <wp:wrapNone/>
                      <wp:docPr id="101" name="Frame10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Gains</w:t>
            </w:r>
          </w:p>
        </w:tc>
        <w:tc>
          <w:tcPr>
            <w:tcW w:w="346" w:type="dxa"/>
            <w:tcBorders/>
            <w:vAlign w:val="center"/>
          </w:tcPr>
          <w:p>
            <w:pPr>
              <w:pStyle w:val="TableContents"/>
              <w:bidi w:val="0"/>
              <w:spacing w:before="0" w:after="0"/>
              <w:ind w:left="0" w:right="0" w:hanging="0"/>
              <w:jc w:val="left"/>
              <w:rPr/>
            </w:pPr>
            <w:r>
              <w:rPr/>
              <w:t>  ​ ​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179,195</w:t>
            </w:r>
          </w:p>
        </w:tc>
        <w:tc>
          <w:tcPr>
            <w:tcW w:w="3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179,195</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treasury securities</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215,299</w:t>
            </w:r>
          </w:p>
        </w:tc>
        <w:tc>
          <w:tcPr>
            <w:tcW w:w="346" w:type="dxa"/>
            <w:tcBorders/>
            <w:vAlign w:val="center"/>
          </w:tcPr>
          <w:p>
            <w:pPr>
              <w:pStyle w:val="TableContents"/>
              <w:bidi w:val="0"/>
              <w:spacing w:before="0" w:after="0"/>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215,189</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394,494</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394,384</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Gains</w:t>
            </w:r>
          </w:p>
        </w:tc>
        <w:tc>
          <w:tcPr>
            <w:tcW w:w="346" w:type="dxa"/>
            <w:tcBorders/>
            <w:vAlign w:val="center"/>
          </w:tcPr>
          <w:p>
            <w:pPr>
              <w:pStyle w:val="TableContents"/>
              <w:bidi w:val="0"/>
              <w:spacing w:before="0" w:after="0"/>
              <w:ind w:left="0" w:right="0" w:hanging="0"/>
              <w:jc w:val="left"/>
              <w:rPr/>
            </w:pPr>
            <w:r>
              <w:rPr/>
              <w:t>  ​ ​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170,826</w:t>
            </w:r>
          </w:p>
        </w:tc>
        <w:tc>
          <w:tcPr>
            <w:tcW w:w="3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170,826</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treasury securities</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213,358</w:t>
            </w:r>
          </w:p>
        </w:tc>
        <w:tc>
          <w:tcPr>
            <w:tcW w:w="346" w:type="dxa"/>
            <w:tcBorders/>
            <w:vAlign w:val="center"/>
          </w:tcPr>
          <w:p>
            <w:pPr>
              <w:pStyle w:val="TableContents"/>
              <w:bidi w:val="0"/>
              <w:spacing w:before="0" w:after="0"/>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213,457</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384,184</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384,283</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Investments with maturities of 90 days or less from the date of purchase are classified as cash equivalents; investments with maturities of greater than 90 days from the date of purchase but less than one year are generally classified as short-term investments; and investments with maturities of one year or greater from the date of purchase are generally classified as long-term investments. All short-term investments had stated maturity dates of less than one year. The Company has recorded the securities at fair value on its condensed consolidated balance sheets and unrealized gains and losses are reported as a component of accumulated other comprehensive (loss) income. The amount of realized gains and losses reclassified into earnings and the related adjustments to deferred taxes are based on the specific identification of the securities sold or securities that reached maturity date.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Fair Value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measures certain financial assets at fair value. Fair value is determined based upon the exit price that would be received to sell an asset in an orderly transaction between market participants, as determined by either the principal market or the most advantageous market. Inputs used in the valuation techniques are classified based on a three-level hierarchy, as follows:</w:t>
      </w:r>
    </w:p>
    <w:p>
      <w:pPr>
        <w:pStyle w:val="TextBody"/>
        <w:bidi w:val="0"/>
        <w:spacing w:before="0" w:after="0"/>
        <w:ind w:left="0" w:right="0" w:firstLine="360"/>
        <w:jc w:val="left"/>
        <w:rPr/>
      </w:pPr>
      <w:r>
        <w:rPr/>
        <w:t>​</w:t>
      </w:r>
    </w:p>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Quoted prices for identical assets or liabilities in active markets;</w:t>
            </w:r>
          </w:p>
        </w:tc>
      </w:tr>
    </w:tbl>
    <w:p>
      <w:pPr>
        <w:pStyle w:val="TextBody"/>
        <w:bidi w:val="0"/>
        <w:spacing w:before="0" w:after="0"/>
        <w:ind w:left="0" w:right="0" w:firstLine="360"/>
        <w:jc w:val="left"/>
        <w:rPr/>
      </w:pPr>
      <w:r>
        <w:rPr/>
        <w:t>​</w:t>
      </w:r>
    </w:p>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Observable inputs other than those described as Level 1; and</w:t>
            </w:r>
          </w:p>
        </w:tc>
      </w:tr>
    </w:tbl>
    <w:p>
      <w:pPr>
        <w:pStyle w:val="TextBody"/>
        <w:bidi w:val="0"/>
        <w:spacing w:before="0" w:after="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Unobservable inputs that are supported by little or no market activities and are based on significant assumptions and estimates.</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March 31, 2026 and December 31, 2025, the fair values of the Company’s investments were all measured using level 1 inputs.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4–Earnings Per Share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Basic earnings per common share is computed using the weighted average number of shares outstanding. Diluted earnings per share is computed using the weighted average number of shares outstanding adjusted for the incremental shares attributable to non-vested stock units and stock options outstanding, if dilutive.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761" w:name="Tc_L8IDZnQGDEe7dVeDBv9RsQ_11_5"/>
      <w:bookmarkStart w:id="762" w:name="Tc_dUdzfLvaXkOcBtoVn48fjA_11_2"/>
      <w:bookmarkStart w:id="763" w:name="Tc_R5ljMk34U0-QkQuf7Ifhqw_11_0"/>
      <w:bookmarkStart w:id="764" w:name="Tc_KNfVmgZ6SkCkAjTlhU27eg_10_5"/>
      <w:bookmarkStart w:id="765" w:name="Tc_VR-2O7vV7USSqpZE4Rc3yQ_10_2"/>
      <w:bookmarkStart w:id="766" w:name="Tc_PefsdnRW9UWDwTC2fJizAw_10_0"/>
      <w:bookmarkStart w:id="767" w:name="Tc_3VzToZ3NREK593WK12Ys1A_9_0"/>
      <w:bookmarkStart w:id="768" w:name="Tc_C1tDip36P0O-3-itip0O-Q_8_0"/>
      <w:bookmarkStart w:id="769" w:name="Tc_qc_vbgRmikGnFiopVWM6sg_7_0"/>
      <w:bookmarkStart w:id="770" w:name="Tc_HKhVHpi3uU2-P9_OabsoIw_6_0"/>
      <w:bookmarkStart w:id="771" w:name="Tc_76Ku8ctKMUyeGCW7tq5GCA_5_0"/>
      <w:bookmarkStart w:id="772" w:name="Tc_cNIC74wpdkK4Tmi2tK1gGA_4_5"/>
      <w:bookmarkStart w:id="773" w:name="Tc_xb0VHhJM60WUHOFMtvQ3hw_4_2"/>
      <w:bookmarkStart w:id="774" w:name="Tc_mTyaMoeTdEWrY0bC_JMLjQ_4_0"/>
      <w:bookmarkStart w:id="775" w:name="Tc_OzYaZa5FU0m398VlfsyIvw_3_0"/>
      <w:bookmarkStart w:id="776" w:name="Tc_FJ_OQxO0BUatbakwiU_qjQ_2_5"/>
      <w:bookmarkStart w:id="777" w:name="Tc_pEt5MrNnE0iU5K3K2Z9nWA_2_2"/>
      <w:bookmarkStart w:id="778" w:name="Tc_N508ZmhX3024HgybXuATFA_1_2"/>
      <w:bookmarkStart w:id="779" w:name="_1e595369_fa2b_4c66_9ea5_a0a00c242193"/>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rPr>
          <w:rFonts w:ascii="Times New Roman;Times;serif" w:hAnsi="Times New Roman;Times;serif"/>
          <w:sz w:val="20"/>
        </w:rPr>
        <w:t>The following table sets forth the computation of basic and diluted earnings per share for the three months ended March 31, 2026 and 2025 (in thousands, except per share data):</w:t>
      </w:r>
    </w:p>
    <w:p>
      <w:pPr>
        <w:pStyle w:val="TextBody"/>
        <w:bidi w:val="0"/>
        <w:spacing w:before="0" w:after="0"/>
        <w:ind w:left="0" w:right="0" w:firstLine="360"/>
        <w:jc w:val="left"/>
        <w:rPr/>
      </w:pPr>
      <w:r>
        <w:rPr/>
        <w:t>​</w:t>
      </w:r>
    </w:p>
    <w:tbl>
      <w:tblPr>
        <w:tblW w:w="6420" w:type="dxa"/>
        <w:jc w:val="left"/>
        <w:tblInd w:w="0" w:type="dxa"/>
        <w:tblLayout w:type="fixed"/>
        <w:tblCellMar>
          <w:top w:w="0" w:type="dxa"/>
          <w:left w:w="0" w:type="dxa"/>
          <w:bottom w:w="0" w:type="dxa"/>
          <w:right w:w="0" w:type="dxa"/>
        </w:tblCellMar>
      </w:tblPr>
      <w:tblGrid>
        <w:gridCol w:w="3586"/>
        <w:gridCol w:w="346"/>
        <w:gridCol w:w="242"/>
        <w:gridCol w:w="777"/>
        <w:gridCol w:w="398"/>
        <w:gridCol w:w="242"/>
        <w:gridCol w:w="829"/>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277110" cy="175260"/>
                      <wp:effectExtent l="0" t="0" r="0" b="0"/>
                      <wp:wrapNone/>
                      <wp:docPr id="102" name="Frame102"/>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3670" cy="175260"/>
                      <wp:effectExtent l="0" t="0" r="0" b="0"/>
                      <wp:wrapNone/>
                      <wp:docPr id="104" name="Frame10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3395" cy="175260"/>
                      <wp:effectExtent l="0" t="0" r="0" b="0"/>
                      <wp:wrapNone/>
                      <wp:docPr id="105" name="Frame105"/>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52730" cy="175260"/>
                      <wp:effectExtent l="0" t="0" r="0" b="0"/>
                      <wp:wrapNone/>
                      <wp:docPr id="106" name="Frame106"/>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53670" cy="175260"/>
                      <wp:effectExtent l="0" t="0" r="0" b="0"/>
                      <wp:wrapNone/>
                      <wp:docPr id="107" name="Frame10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26415" cy="175260"/>
                      <wp:effectExtent l="0" t="0" r="0" b="0"/>
                      <wp:wrapNone/>
                      <wp:docPr id="108" name="Frame108"/>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8" w:type="dxa"/>
            <w:tcBorders/>
            <w:vAlign w:val="center"/>
          </w:tcPr>
          <w:p>
            <w:pPr>
              <w:pStyle w:val="TableContents"/>
              <w:bidi w:val="0"/>
              <w:spacing w:before="0" w:after="0"/>
              <w:ind w:left="0" w:right="0" w:hanging="0"/>
              <w:jc w:val="left"/>
              <w:rPr/>
            </w:pPr>
            <w:r>
              <w:rPr/>
              <w:t>  ​ ​ ​</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98"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17,223</w:t>
            </w:r>
          </w:p>
        </w:tc>
        <w:tc>
          <w:tcPr>
            <w:tcW w:w="398" w:type="dxa"/>
            <w:tcBorders/>
            <w:vAlign w:val="center"/>
          </w:tcPr>
          <w:p>
            <w:pPr>
              <w:pStyle w:val="TableContents"/>
              <w:bidi w:val="0"/>
              <w:spacing w:before="0" w:after="0"/>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13,481</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98"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basic earnings per share</w:t>
            </w:r>
          </w:p>
        </w:tc>
        <w:tc>
          <w:tcPr>
            <w:tcW w:w="346"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right"/>
              <w:rPr/>
            </w:pPr>
            <w:r>
              <w:rPr/>
              <w:t> </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25,201</w:t>
            </w:r>
          </w:p>
        </w:tc>
        <w:tc>
          <w:tcPr>
            <w:tcW w:w="398"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righ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26,076</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Dilutive effect of employee stock awards </w:t>
            </w:r>
          </w:p>
        </w:tc>
        <w:tc>
          <w:tcPr>
            <w:tcW w:w="346" w:type="dxa"/>
            <w:tcBorders/>
            <w:shd w:fill="CCEEFF" w:val="clear"/>
            <w:vAlign w:val="center"/>
          </w:tcPr>
          <w:p>
            <w:pPr>
              <w:pStyle w:val="TableContents"/>
              <w:bidi w:val="0"/>
              <w:spacing w:before="0" w:after="0"/>
              <w:ind w:left="0" w:right="0" w:hanging="0"/>
              <w:jc w:val="righ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98" w:type="dxa"/>
            <w:tcBorders/>
            <w:shd w:fill="CCEEFF" w:val="clear"/>
            <w:vAlign w:val="center"/>
          </w:tcPr>
          <w:p>
            <w:pPr>
              <w:pStyle w:val="TableContents"/>
              <w:bidi w:val="0"/>
              <w:spacing w:before="0" w:after="0"/>
              <w:ind w:left="0" w:right="0" w:hanging="0"/>
              <w:jc w:val="righ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diluted earnings per share</w:t>
            </w:r>
          </w:p>
        </w:tc>
        <w:tc>
          <w:tcPr>
            <w:tcW w:w="346" w:type="dxa"/>
            <w:tcBorders/>
            <w:vAlign w:val="center"/>
          </w:tcPr>
          <w:p>
            <w:pPr>
              <w:pStyle w:val="TableContents"/>
              <w:bidi w:val="0"/>
              <w:spacing w:before="0" w:after="0"/>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25,281</w:t>
            </w:r>
          </w:p>
        </w:tc>
        <w:tc>
          <w:tcPr>
            <w:tcW w:w="398" w:type="dxa"/>
            <w:tcBorders/>
            <w:vAlign w:val="center"/>
          </w:tcPr>
          <w:p>
            <w:pPr>
              <w:pStyle w:val="TableContents"/>
              <w:bidi w:val="0"/>
              <w:spacing w:before="0" w:after="0"/>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26,218</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98"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c>
          <w:tcPr>
            <w:tcW w:w="398" w:type="dxa"/>
            <w:tcBorders/>
            <w:vAlign w:val="center"/>
          </w:tcPr>
          <w:p>
            <w:pPr>
              <w:pStyle w:val="TableContents"/>
              <w:bidi w:val="0"/>
              <w:spacing w:before="0" w:after="0"/>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righ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c>
          <w:tcPr>
            <w:tcW w:w="398" w:type="dxa"/>
            <w:tcBorders/>
            <w:shd w:fill="CCEEFF" w:val="clear"/>
            <w:vAlign w:val="center"/>
          </w:tcPr>
          <w:p>
            <w:pPr>
              <w:pStyle w:val="TableContents"/>
              <w:bidi w:val="0"/>
              <w:spacing w:before="0" w:after="0"/>
              <w:ind w:left="0" w:right="0" w:hanging="0"/>
              <w:jc w:val="righ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0.51</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three months ended March 31, 2026 and 2025, the Company had no outstanding non-vested stock units that were excluded from the computation of diluted earnings per share because including them would have had an anti-dilutive effect.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780" w:name="Tc_P4_43ETvvkWUHOrp2ZfusA_18_0"/>
      <w:bookmarkStart w:id="781" w:name="Tc_9cOh66yysE2GWmGp_z7yKw_17_0"/>
      <w:bookmarkStart w:id="782" w:name="Tc_XXMXC5D6aUmN09Y9w_ANPw_15_12"/>
      <w:bookmarkStart w:id="783" w:name="Tc_SZb8mLRilEKDfkHNrfNHFg_15_3"/>
      <w:bookmarkStart w:id="784" w:name="Tc_hQacsMMTH0uMwLYWjIZF0A_15_0"/>
      <w:bookmarkStart w:id="785" w:name="Tc_-r4w5DVDLkCthS0JU7MQAA_14_0"/>
      <w:bookmarkStart w:id="786" w:name="Tc_NVUXWlHIBki7fJOEu7kATQ_12_18"/>
      <w:bookmarkStart w:id="787" w:name="Tc_PB30T9ozEkq5fN4G6_Bepg_12_17"/>
      <w:bookmarkStart w:id="788" w:name="Tc_e_DBtlBy10-gY49f58_mKg_12_15"/>
      <w:bookmarkStart w:id="789" w:name="Tc_a-d8ODVQNkaO78AYncHzqQ_12_14"/>
      <w:bookmarkStart w:id="790" w:name="Tc_6uE4qEwRmkelieBnP357-Q_12_12"/>
      <w:bookmarkStart w:id="791" w:name="Tc_-jQW6LapJESUrkaSX8X-1g_12_11"/>
      <w:bookmarkStart w:id="792" w:name="Tc_qDTQwsWpgEmrw4IgnLzTSA_12_8"/>
      <w:bookmarkStart w:id="793" w:name="Tc_pQLJc6TRNU-oy_pmUjzY2w_12_5"/>
      <w:bookmarkStart w:id="794" w:name="Tc_suBAKsZEG0aF6RyLHyNFng_12_3"/>
      <w:bookmarkStart w:id="795" w:name="Tc_hufP35qlhEGX6Z_csLvuwQ_12_2"/>
      <w:bookmarkStart w:id="796" w:name="Tc_wwxNkGAKaUKzXQ9kH7-XCQ_12_0"/>
      <w:bookmarkStart w:id="797" w:name="Tc_tbz97TkEWki6lDj_OVxQgw_11_0"/>
      <w:bookmarkStart w:id="798" w:name="Tc_W5dMnK8jzkS_WtsJFc8H1A_10_17"/>
      <w:bookmarkStart w:id="799" w:name="Tc_uFHrFHmCJ0a5fYre2CR9rw_10_14"/>
      <w:bookmarkStart w:id="800" w:name="Tc_MfH6c8H3lEuTnFLCm6G_eA_10_12"/>
      <w:bookmarkStart w:id="801" w:name="Tc_756YBu9Q902LfuILc50L1Q_10_11"/>
      <w:bookmarkStart w:id="802" w:name="Tc_XAK5Z420eUODtvnqgTw-Ww_10_8"/>
      <w:bookmarkStart w:id="803" w:name="Tc_mggEFKd8wkWog7H3g0Rvcg_10_5"/>
      <w:bookmarkStart w:id="804" w:name="Tc_WN0Xs5Hf70-wDWs-DRv8dw_10_3"/>
      <w:bookmarkStart w:id="805" w:name="Tc_WXoqa_p--kiwFVOUfU51Lw_10_2"/>
      <w:bookmarkStart w:id="806" w:name="Tc_zvYJD-p8n0-GyjPGJj-GbQ_10_0"/>
      <w:bookmarkStart w:id="807" w:name="Tc_kvO_eZdVn0WHBwEGa3AKOg_9_0"/>
      <w:bookmarkStart w:id="808" w:name="Tc_qF4G2WzgBUKnPpJuG4N8Sg_8_0"/>
      <w:bookmarkStart w:id="809" w:name="Tc_vD4I-l04QkGN1Pyu7QQjrA_6_17"/>
      <w:bookmarkStart w:id="810" w:name="Tc_cmzvKkZCCkG_w4c4eCxnRw_6_14"/>
      <w:bookmarkStart w:id="811" w:name="Tc_oCH04WQTX0q_rNyzxu9HMg_6_11"/>
      <w:bookmarkStart w:id="812" w:name="Tc_dgiBcSFZfka7xBI3VfgZnQ_6_8"/>
      <w:bookmarkStart w:id="813" w:name="Tc_djF2ndRILEC_zHnOgWYTdg_6_5"/>
      <w:bookmarkStart w:id="814" w:name="Tc_nOolGfhT_UKRuqvjtO-zbg_6_2"/>
      <w:bookmarkStart w:id="815" w:name="Tc_EIkxA1Zv6EqhY1d3T1bbDg_6_0"/>
      <w:bookmarkStart w:id="816" w:name="Tc_i1YZr-URsE-6gzPrW57F0w_5_0"/>
      <w:bookmarkStart w:id="817" w:name="Tc_I7XFHqhYK0G2veNtoo6p8Q_4_17"/>
      <w:bookmarkStart w:id="818" w:name="Tc_m6ukQmeIxUS_b1Rc53Y1Ug_4_14"/>
      <w:bookmarkStart w:id="819" w:name="Tc_TAzgSn9cIE2bA9DfBOko0Q_4_12"/>
      <w:bookmarkStart w:id="820" w:name="Tc_eZsFBhqkNkWeNCXcpXr4zQ_4_11"/>
      <w:bookmarkStart w:id="821" w:name="Tc_a9E48NTt1EKzLLnNQj4FMA_4_8"/>
      <w:bookmarkStart w:id="822" w:name="Tc_m5PHE-LTeUakMs6DCo31rw_4_5"/>
      <w:bookmarkStart w:id="823" w:name="Tc_IMFjIpakFU2mh3PmOkdWSw_4_3"/>
      <w:bookmarkStart w:id="824" w:name="Tc_0TZd8FShukKsefH37ziDuA_4_2"/>
      <w:bookmarkStart w:id="825" w:name="Tc_pC9JudxNkkC59uKLpI2PeQ_4_0"/>
      <w:bookmarkStart w:id="826" w:name="Tc_k-XiFCE2gECTgbr60H5-wA_3_0"/>
      <w:bookmarkStart w:id="827" w:name="Tc_pWvdS6xX6UipB7fcdfg6PA_2_17"/>
      <w:bookmarkStart w:id="828" w:name="Tc_Bw5S9LJ4XUev72Fn3X7haA_2_14"/>
      <w:bookmarkStart w:id="829" w:name="Tc_JbkDa2Ipo06jrhc5l7VjZw_2_11"/>
      <w:bookmarkStart w:id="830" w:name="Tc_9XYPycODcUue0W7AIeGlzQ_2_8"/>
      <w:bookmarkStart w:id="831" w:name="Tc_hLUpf2FC6UikGGt8FccAVQ_2_5"/>
      <w:bookmarkStart w:id="832" w:name="Tc_UFjHyGXZnEe_HZOzGCSO8g_2_2"/>
      <w:bookmarkStart w:id="833" w:name="Tc_teF10MqDT0mNMmSn4mPB6A_1_11"/>
      <w:bookmarkStart w:id="834" w:name="Tc_2Vzekk8riEaXZ7YIUQGgOw_1_2"/>
      <w:bookmarkStart w:id="835" w:name="_3302c5ba_11a0_4107_bf61_9e1493dcf3cf"/>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r>
        <w:rPr>
          <w:rFonts w:ascii="Times New Roman;Times;serif" w:hAnsi="Times New Roman;Times;serif"/>
          <w:b/>
          <w:sz w:val="20"/>
        </w:rPr>
        <w:t>Note 5</w:t>
      </w:r>
      <w:r>
        <w:rPr>
          <w:rFonts w:ascii="Times New Roman;Times;serif" w:hAnsi="Times New Roman;Times;serif"/>
          <w:sz w:val="20"/>
        </w:rPr>
        <w:t>–</w:t>
      </w:r>
      <w:r>
        <w:rPr>
          <w:rFonts w:ascii="Times New Roman;Times;serif" w:hAnsi="Times New Roman;Times;serif"/>
          <w:b/>
          <w:sz w:val="20"/>
        </w:rPr>
        <w:t>Leases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leases certain facilities from a related party, which is a company affiliated with it through common ownership. The costs for these leases are presented within short-term lease cost in the below table.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2026, the Company entered into a lease amendment extending the term of a lease, which increased the right-of-use, or ROU, asset by $6,056.</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March 31, 2026, there were no additional significant operating leases that have not yet commenced. Refer to the following table for quantitative information related to the Company’s leases for the three months ended March 31, 2026 and 2025 (dollars in thousands):</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4431"/>
        <w:gridCol w:w="146"/>
        <w:gridCol w:w="249"/>
        <w:gridCol w:w="648"/>
        <w:gridCol w:w="109"/>
        <w:gridCol w:w="212"/>
        <w:gridCol w:w="601"/>
        <w:gridCol w:w="109"/>
        <w:gridCol w:w="212"/>
        <w:gridCol w:w="601"/>
        <w:gridCol w:w="146"/>
        <w:gridCol w:w="249"/>
        <w:gridCol w:w="648"/>
        <w:gridCol w:w="109"/>
        <w:gridCol w:w="211"/>
        <w:gridCol w:w="533"/>
        <w:gridCol w:w="109"/>
        <w:gridCol w:w="211"/>
        <w:gridCol w:w="671"/>
      </w:tblGrid>
      <w:tr>
        <w:trPr/>
        <w:tc>
          <w:tcPr>
            <w:tcW w:w="4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813685" cy="175260"/>
                      <wp:effectExtent l="0" t="0" r="0" b="0"/>
                      <wp:wrapNone/>
                      <wp:docPr id="109" name="Frame109"/>
                      <a:graphic xmlns:a="http://schemas.openxmlformats.org/drawingml/2006/main">
                        <a:graphicData uri="http://schemas.microsoft.com/office/word/2010/wordprocessingShape">
                          <wps:wsp>
                            <wps:cNvSpPr txBox="1"/>
                            <wps:spPr>
                              <a:xfrm>
                                <a:off x="0" y="0"/>
                                <a:ext cx="281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92710" cy="175260"/>
                      <wp:effectExtent l="0" t="0" r="0" b="0"/>
                      <wp:wrapNone/>
                      <wp:docPr id="110" name="Frame1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8115" cy="175260"/>
                      <wp:effectExtent l="0" t="0" r="0" b="0"/>
                      <wp:wrapNone/>
                      <wp:docPr id="111" name="Frame11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11480" cy="175260"/>
                      <wp:effectExtent l="0" t="0" r="0" b="0"/>
                      <wp:wrapNone/>
                      <wp:docPr id="112" name="Frame112"/>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4620" cy="175260"/>
                      <wp:effectExtent l="0" t="0" r="0" b="0"/>
                      <wp:wrapNone/>
                      <wp:docPr id="114" name="Frame11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81635" cy="175260"/>
                      <wp:effectExtent l="0" t="0" r="0" b="0"/>
                      <wp:wrapNone/>
                      <wp:docPr id="115" name="Frame11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4620" cy="175260"/>
                      <wp:effectExtent l="0" t="0" r="0" b="0"/>
                      <wp:wrapNone/>
                      <wp:docPr id="117" name="Frame11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81635" cy="175260"/>
                      <wp:effectExtent l="0" t="0" r="0" b="0"/>
                      <wp:wrapNone/>
                      <wp:docPr id="118" name="Frame11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2710" cy="175260"/>
                      <wp:effectExtent l="0" t="0" r="0" b="0"/>
                      <wp:wrapNone/>
                      <wp:docPr id="119" name="Frame1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58115" cy="175260"/>
                      <wp:effectExtent l="0" t="0" r="0" b="0"/>
                      <wp:wrapNone/>
                      <wp:docPr id="120" name="Frame12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11480" cy="175260"/>
                      <wp:effectExtent l="0" t="0" r="0" b="0"/>
                      <wp:wrapNone/>
                      <wp:docPr id="121" name="Frame121"/>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38455" cy="175260"/>
                      <wp:effectExtent l="0" t="0" r="0" b="0"/>
                      <wp:wrapNone/>
                      <wp:docPr id="124" name="Frame124"/>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26085" cy="175260"/>
                      <wp:effectExtent l="0" t="0" r="0" b="0"/>
                      <wp:wrapNone/>
                      <wp:docPr id="127" name="Frame127"/>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274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2026</w:t>
            </w:r>
          </w:p>
        </w:tc>
        <w:tc>
          <w:tcPr>
            <w:tcW w:w="146" w:type="dxa"/>
            <w:tcBorders/>
            <w:vAlign w:val="center"/>
          </w:tcPr>
          <w:p>
            <w:pPr>
              <w:pStyle w:val="TableContents"/>
              <w:bidi w:val="0"/>
              <w:spacing w:before="0" w:after="0"/>
              <w:ind w:left="0" w:right="0" w:hanging="0"/>
              <w:jc w:val="center"/>
              <w:rPr/>
            </w:pPr>
            <w:r>
              <w:rPr/>
              <w:t> </w:t>
            </w:r>
          </w:p>
        </w:tc>
        <w:tc>
          <w:tcPr>
            <w:tcW w:w="274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r>
      <w:tr>
        <w:trPr/>
        <w:tc>
          <w:tcPr>
            <w:tcW w:w="44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Parties</w:t>
            </w:r>
          </w:p>
        </w:tc>
        <w:tc>
          <w:tcPr>
            <w:tcW w:w="109" w:type="dxa"/>
            <w:tcBorders/>
            <w:vAlign w:val="center"/>
          </w:tcPr>
          <w:p>
            <w:pPr>
              <w:pStyle w:val="TableContents"/>
              <w:bidi w:val="0"/>
              <w:spacing w:before="0" w:after="0"/>
              <w:ind w:left="0" w:right="0" w:hanging="0"/>
              <w:jc w:val="center"/>
              <w:rPr/>
            </w:pPr>
            <w:r>
              <w:rPr/>
              <w:t>​</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Others</w:t>
            </w:r>
          </w:p>
        </w:tc>
        <w:tc>
          <w:tcPr>
            <w:tcW w:w="109" w:type="dxa"/>
            <w:tcBorders/>
            <w:vAlign w:val="center"/>
          </w:tcPr>
          <w:p>
            <w:pPr>
              <w:pStyle w:val="TableContents"/>
              <w:bidi w:val="0"/>
              <w:spacing w:before="0" w:after="0"/>
              <w:ind w:left="0" w:right="0" w:hanging="0"/>
              <w:jc w:val="center"/>
              <w:rPr/>
            </w:pPr>
            <w:r>
              <w:rPr/>
              <w:t>​</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0"/>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Parties</w:t>
            </w:r>
          </w:p>
        </w:tc>
        <w:tc>
          <w:tcPr>
            <w:tcW w:w="109" w:type="dxa"/>
            <w:tcBorders/>
            <w:vAlign w:val="center"/>
          </w:tcPr>
          <w:p>
            <w:pPr>
              <w:pStyle w:val="TableContents"/>
              <w:bidi w:val="0"/>
              <w:spacing w:before="0" w:after="0"/>
              <w:ind w:left="0" w:right="0" w:hanging="0"/>
              <w:jc w:val="center"/>
              <w:rPr/>
            </w:pPr>
            <w:r>
              <w:rPr/>
              <w:t>​</w:t>
            </w:r>
          </w:p>
        </w:tc>
        <w:tc>
          <w:tcPr>
            <w:tcW w:w="7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Others</w:t>
            </w:r>
          </w:p>
        </w:tc>
        <w:tc>
          <w:tcPr>
            <w:tcW w:w="109" w:type="dxa"/>
            <w:tcBorders/>
            <w:vAlign w:val="center"/>
          </w:tcPr>
          <w:p>
            <w:pPr>
              <w:pStyle w:val="TableContents"/>
              <w:bidi w:val="0"/>
              <w:spacing w:before="0" w:after="0"/>
              <w:ind w:left="0" w:right="0" w:hanging="0"/>
              <w:jc w:val="center"/>
              <w:rPr/>
            </w:pPr>
            <w:r>
              <w:rPr/>
              <w:t>​</w:t>
            </w:r>
          </w:p>
        </w:tc>
        <w:tc>
          <w:tcPr>
            <w:tcW w:w="8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1" w:type="dxa"/>
            <w:tcBorders/>
            <w:shd w:fill="CCEEFF" w:val="clear"/>
            <w:vAlign w:val="center"/>
          </w:tcPr>
          <w:p>
            <w:pPr>
              <w:pStyle w:val="TableContents"/>
              <w:bidi w:val="0"/>
              <w:spacing w:before="0" w:after="0"/>
              <w:ind w:left="0" w:right="0" w:hanging="0"/>
              <w:jc w:val="right"/>
              <w:rPr/>
            </w:pPr>
            <w:r>
              <w:rPr/>
              <w:t>  ​</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operating lease cost</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1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109" w:type="dxa"/>
            <w:tcBorders/>
            <w:vAlign w:val="center"/>
          </w:tcPr>
          <w:p>
            <w:pPr>
              <w:pStyle w:val="TableContents"/>
              <w:bidi w:val="0"/>
              <w:spacing w:before="0" w:after="0"/>
              <w:ind w:left="0" w:right="0" w:hanging="0"/>
              <w:jc w:val="righ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c>
          <w:tcPr>
            <w:tcW w:w="109" w:type="dxa"/>
            <w:tcBorders/>
            <w:vAlign w:val="center"/>
          </w:tcPr>
          <w:p>
            <w:pPr>
              <w:pStyle w:val="TableContents"/>
              <w:bidi w:val="0"/>
              <w:spacing w:before="0" w:after="0"/>
              <w:ind w:left="0" w:right="0" w:hanging="0"/>
              <w:jc w:val="righ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1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w:t>
            </w:r>
          </w:p>
        </w:tc>
      </w:tr>
      <w:tr>
        <w:trPr/>
        <w:tc>
          <w:tcPr>
            <w:tcW w:w="443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pPr>
            <w:r>
              <w:rPr/>
              <w:t>  ​</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 and capitalized 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1" w:type="dxa"/>
            <w:tcBorders/>
            <w:shd w:fill="CCEEFF" w:val="clear"/>
            <w:vAlign w:val="center"/>
          </w:tcPr>
          <w:p>
            <w:pPr>
              <w:pStyle w:val="TableContents"/>
              <w:bidi w:val="0"/>
              <w:spacing w:before="0" w:after="0"/>
              <w:ind w:left="0" w:right="0" w:hanging="0"/>
              <w:jc w:val="right"/>
              <w:rPr/>
            </w:pPr>
            <w:r>
              <w:rPr/>
              <w:t>​</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1" w:type="dxa"/>
            <w:tcBorders/>
            <w:shd w:fill="CCEEFF" w:val="clear"/>
            <w:vAlign w:val="center"/>
          </w:tcPr>
          <w:p>
            <w:pPr>
              <w:pStyle w:val="TableContents"/>
              <w:bidi w:val="0"/>
              <w:spacing w:before="0" w:after="0"/>
              <w:ind w:left="0" w:right="0" w:hanging="0"/>
              <w:jc w:val="right"/>
              <w:rPr/>
            </w:pPr>
            <w:r>
              <w:rPr/>
              <w:t>​</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6,056</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6,056</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3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1" w:type="dxa"/>
            <w:tcBorders/>
            <w:vAlign w:val="center"/>
          </w:tcPr>
          <w:p>
            <w:pPr>
              <w:pStyle w:val="TableContents"/>
              <w:bidi w:val="0"/>
              <w:spacing w:before="0" w:after="0"/>
              <w:ind w:left="0" w:right="0" w:hanging="0"/>
              <w:jc w:val="right"/>
              <w:rPr/>
            </w:pPr>
            <w:r>
              <w:rPr/>
              <w:t>—</w:t>
            </w:r>
          </w:p>
        </w:tc>
      </w:tr>
      <w:tr>
        <w:trPr/>
        <w:tc>
          <w:tcPr>
            <w:tcW w:w="443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left"/>
              <w:rPr/>
            </w:pPr>
            <w:r>
              <w:rPr/>
              <w:t>​</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pPr>
            <w:r>
              <w:rPr/>
              <w:t>  ​</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44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pPr>
            <w:r>
              <w:rPr/>
              <w:t>​</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left"/>
              <w:rPr/>
            </w:pPr>
            <w:r>
              <w:rPr/>
              <w:t>​</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operating leases</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836" w:name="Narr_i4fL-hRZB0WriNy4_9QBRQ"/>
      <w:bookmarkStart w:id="837" w:name="_1417baa5_fbe5_4fbf_bcea_26b1153042f5_3"/>
      <w:bookmarkStart w:id="838" w:name="_1417baa5_fbe5_4fbf_bcea_26b1153042f5_2"/>
      <w:bookmarkStart w:id="839" w:name="_1417baa5_fbe5_4fbf_bcea_26b1153042f5"/>
      <w:bookmarkStart w:id="840" w:name="Tc_DZPgw2Rsskm-0FrypgxNzw_11_2"/>
      <w:bookmarkStart w:id="841" w:name="Tc_-i3UBnk4pEytqkoNcpnuJw_11_0"/>
      <w:bookmarkStart w:id="842" w:name="Tc_kO6YR_bTgkCu0I2Bv6-LQg_10_2"/>
      <w:bookmarkStart w:id="843" w:name="Tc_D3vScDjgPEmRD4jR5kMCNw_10_0"/>
      <w:bookmarkStart w:id="844" w:name="Tc_s_H9whM26E6-VEhBCkMBzQ_8_2"/>
      <w:bookmarkStart w:id="845" w:name="Tc_GLECeO6gbUWt7fMzM90Kww_7_0"/>
      <w:bookmarkStart w:id="846" w:name="Tc_5hcltrMDikiFkZArAaieUw_6_0"/>
      <w:bookmarkStart w:id="847" w:name="Tc_B0ZkMhAPI0aRoevESHzi5g_5_0"/>
      <w:bookmarkStart w:id="848" w:name="Tc_yQqVJooau0GyeEUWrBij5w_4_0"/>
      <w:bookmarkStart w:id="849" w:name="Tc_Ps52NUX0jU6kHU7f0APJ4w_3_0"/>
      <w:bookmarkStart w:id="850" w:name="Tc_ZAmNf1AbSk6fBNqSdV_N0w_2_2"/>
      <w:bookmarkStart w:id="851" w:name="Tc_ninHZJIJP02UIQuLD3jHNQ_2_0"/>
      <w:bookmarkStart w:id="852" w:name="Tc_ODoAuIZ5ok6WuXaaWhmbcw_1_0"/>
      <w:bookmarkStart w:id="853" w:name="_476fdc69_95d7_47bb_916e_434cd4777dce"/>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Pr>
          <w:rFonts w:ascii="Times New Roman;Times;serif" w:hAnsi="Times New Roman;Times;serif"/>
          <w:sz w:val="20"/>
        </w:rPr>
        <w:t>As of March 31, 2026, future lease payments over the remaining term of capitalized operating leases were as follows (in thousands):</w:t>
      </w:r>
    </w:p>
    <w:p>
      <w:pPr>
        <w:pStyle w:val="TextBody"/>
        <w:bidi w:val="0"/>
        <w:spacing w:before="0" w:after="0"/>
        <w:ind w:left="0" w:right="0" w:firstLine="360"/>
        <w:jc w:val="left"/>
        <w:rPr/>
      </w:pPr>
      <w:r>
        <w:rPr/>
        <w:t>​</w:t>
      </w:r>
    </w:p>
    <w:tbl>
      <w:tblPr>
        <w:tblW w:w="5782" w:type="dxa"/>
        <w:jc w:val="left"/>
        <w:tblInd w:w="0" w:type="dxa"/>
        <w:tblLayout w:type="fixed"/>
        <w:tblCellMar>
          <w:top w:w="0" w:type="dxa"/>
          <w:left w:w="0" w:type="dxa"/>
          <w:bottom w:w="0" w:type="dxa"/>
          <w:right w:w="0" w:type="dxa"/>
        </w:tblCellMar>
      </w:tblPr>
      <w:tblGrid>
        <w:gridCol w:w="4726"/>
        <w:gridCol w:w="109"/>
        <w:gridCol w:w="211"/>
        <w:gridCol w:w="736"/>
      </w:tblGrid>
      <w:tr>
        <w:trPr/>
        <w:tc>
          <w:tcPr>
            <w:tcW w:w="4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001010" cy="175260"/>
                      <wp:effectExtent l="0" t="0" r="0" b="0"/>
                      <wp:wrapNone/>
                      <wp:docPr id="128" name="Frame128"/>
                      <a:graphic xmlns:a="http://schemas.openxmlformats.org/drawingml/2006/main">
                        <a:graphicData uri="http://schemas.microsoft.com/office/word/2010/wordprocessingShape">
                          <wps:wsp>
                            <wps:cNvSpPr txBox="1"/>
                            <wps:spPr>
                              <a:xfrm>
                                <a:off x="0" y="0"/>
                                <a:ext cx="300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67360" cy="175260"/>
                      <wp:effectExtent l="0" t="0" r="0" b="0"/>
                      <wp:wrapNone/>
                      <wp:docPr id="131" name="Frame13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Years Ended December 31,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excluding the three months ended March 31, 2026</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w:t>
            </w:r>
          </w:p>
        </w:tc>
      </w:tr>
      <w:tr>
        <w:trPr/>
        <w:tc>
          <w:tcPr>
            <w:tcW w:w="47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8,732</w:t>
            </w:r>
          </w:p>
        </w:tc>
      </w:tr>
      <w:tr>
        <w:trPr/>
        <w:tc>
          <w:tcPr>
            <w:tcW w:w="47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balance at March 31, 2026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7,380</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March 31, 2026, the ROU asset had a balance of $7,173. The long-term lease liability was $6,426 and the short-term lease liability, which is included in accrued expenses and other liabilities on the condensed consolidated balance sheets, was $954. As of December 31, 2025, the ROU asset had a balance of $1,569. The long-term lease liability was $498 and the short-term lease liability, which is included in accrued expenses and other liabilities on the condensed consolidated balance sheets, was $1,290.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54" w:name="Tc_HtRNT5w2NEaxRhGCTaWbyg_15_2"/>
      <w:bookmarkStart w:id="855" w:name="Tc_r-zEp4bhAEitGMr3_6mAzw_15_0"/>
      <w:bookmarkStart w:id="856" w:name="Tc_9m8dxdrIp0CT8O5BZ0BT1w_14_0"/>
      <w:bookmarkStart w:id="857" w:name="Tc_hQRjptiHXEClRjiqxOxRJA_13_0"/>
      <w:bookmarkStart w:id="858" w:name="Tc_1aYWyp3xxUabnXw9-jhyBw_12_0"/>
      <w:bookmarkStart w:id="859" w:name="Tc_Av5ayToptkyALA7dSQ5psQ_11_2"/>
      <w:bookmarkStart w:id="860" w:name="Tc_AvjyVjprq0qXru5W8HqMYg_11_0"/>
      <w:bookmarkStart w:id="861" w:name="Tc_FYLnfqqkFkKbV8n4IwarBg_10_2"/>
      <w:bookmarkStart w:id="862" w:name="Tc_dPjwleb9w0-kyB8MSbnbzQ_9_2"/>
      <w:bookmarkStart w:id="863" w:name="Tc_ZF80Ud59lUWYMHYPseyt0w_7_2"/>
      <w:bookmarkStart w:id="864" w:name="Tc_OiClJgEQCkKSzK5Am9R8FA_7_0"/>
      <w:bookmarkStart w:id="865" w:name="Tc_eixkczys8Ue0L2HNJF8S2Q_6_0"/>
      <w:bookmarkStart w:id="866" w:name="Tc_M_ZReHS3DUG3sN5LyFHXpw_5_0"/>
      <w:bookmarkStart w:id="867" w:name="Tc_yVvXUK43jEOScBg3fsAksQ_4_0"/>
      <w:bookmarkStart w:id="868" w:name="Tc_EJntfeiuvEesq5b8PVcClA_3_2"/>
      <w:bookmarkStart w:id="869" w:name="Tc_Bh0U0mr5KESLsrhAUDe9Eg_3_0"/>
      <w:bookmarkStart w:id="870" w:name="Tc_DvrtBz0VgEiCN22tcmABkg_2_2"/>
      <w:bookmarkStart w:id="871" w:name="Tc_Y95ubVAck0Ko_50pKgPX6w_1_2"/>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Pr>
          <w:rFonts w:ascii="Times New Roman;Times;serif" w:hAnsi="Times New Roman;Times;serif"/>
          <w:b/>
          <w:sz w:val="20"/>
        </w:rPr>
        <w:t>Note 6–Accumulated Other Comprehensive (Loss) Income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Accumulated other comprehensive (loss) income, which is included as a component of stockholders’ equity, is comprised of unrealized gains and losses on short-term investments, net of tax. The changes in accumulated other comprehensive (loss) income were as follows (in thousands):</w:t>
      </w:r>
    </w:p>
    <w:p>
      <w:pPr>
        <w:pStyle w:val="TextBody"/>
        <w:bidi w:val="0"/>
        <w:spacing w:before="100" w:after="100"/>
        <w:ind w:left="0" w:right="0" w:hanging="0"/>
        <w:jc w:val="left"/>
        <w:rPr/>
      </w:pPr>
      <w:r>
        <w:rPr/>
        <w:t>​</w:t>
      </w:r>
    </w:p>
    <w:tbl>
      <w:tblPr>
        <w:tblW w:w="9200" w:type="dxa"/>
        <w:jc w:val="left"/>
        <w:tblInd w:w="0" w:type="dxa"/>
        <w:tblLayout w:type="fixed"/>
        <w:tblCellMar>
          <w:top w:w="0" w:type="dxa"/>
          <w:left w:w="0" w:type="dxa"/>
          <w:bottom w:w="0" w:type="dxa"/>
          <w:right w:w="0" w:type="dxa"/>
        </w:tblCellMar>
      </w:tblPr>
      <w:tblGrid>
        <w:gridCol w:w="7396"/>
        <w:gridCol w:w="109"/>
        <w:gridCol w:w="449"/>
        <w:gridCol w:w="1246"/>
      </w:tblGrid>
      <w:tr>
        <w:trPr/>
        <w:tc>
          <w:tcPr>
            <w:tcW w:w="7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696460" cy="175260"/>
                      <wp:effectExtent l="0" t="0" r="0" b="0"/>
                      <wp:wrapNone/>
                      <wp:docPr id="132" name="Frame132"/>
                      <a:graphic xmlns:a="http://schemas.openxmlformats.org/drawingml/2006/main">
                        <a:graphicData uri="http://schemas.microsoft.com/office/word/2010/wordprocessingShape">
                          <wps:wsp>
                            <wps:cNvSpPr txBox="1"/>
                            <wps:spPr>
                              <a:xfrm>
                                <a:off x="0" y="0"/>
                                <a:ext cx="469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85115" cy="175260"/>
                      <wp:effectExtent l="0" t="0" r="0" b="0"/>
                      <wp:wrapNone/>
                      <wp:docPr id="134" name="Frame134"/>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91210" cy="175260"/>
                      <wp:effectExtent l="0" t="0" r="0" b="0"/>
                      <wp:wrapNone/>
                      <wp:docPr id="135" name="Frame13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 net of tax</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reclassified from accumulated other comprehensive (loss) income,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comprehensive loss</w:t>
            </w:r>
          </w:p>
        </w:tc>
        <w:tc>
          <w:tcPr>
            <w:tcW w:w="109" w:type="dxa"/>
            <w:tcBorders/>
            <w:vAlign w:val="center"/>
          </w:tcPr>
          <w:p>
            <w:pPr>
              <w:pStyle w:val="TableContents"/>
              <w:bidi w:val="0"/>
              <w:spacing w:before="0" w:after="0"/>
              <w:ind w:left="0" w:right="0" w:hanging="0"/>
              <w:jc w:val="left"/>
              <w:rPr/>
            </w:pPr>
            <w:r>
              <w:rPr/>
              <w:t>​</w:t>
            </w:r>
          </w:p>
        </w:tc>
        <w:tc>
          <w:tcPr>
            <w:tcW w:w="4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2026</w:t>
            </w:r>
          </w:p>
        </w:tc>
        <w:tc>
          <w:tcPr>
            <w:tcW w:w="109" w:type="dxa"/>
            <w:tcBorders/>
            <w:shd w:fill="CCEEFF" w:val="clear"/>
            <w:vAlign w:val="center"/>
          </w:tcPr>
          <w:p>
            <w:pPr>
              <w:pStyle w:val="TableContents"/>
              <w:bidi w:val="0"/>
              <w:spacing w:before="0" w:after="0"/>
              <w:ind w:left="0" w:right="0" w:hanging="0"/>
              <w:jc w:val="left"/>
              <w:rPr/>
            </w:pPr>
            <w:r>
              <w:rPr/>
              <w:t>​</w:t>
            </w:r>
          </w:p>
        </w:tc>
        <w:tc>
          <w:tcPr>
            <w:tcW w:w="4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7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7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before reclassifications, net of tax</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reclassified from accumulated other comprehensive (loss) income,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comprehensive loss</w:t>
            </w:r>
          </w:p>
        </w:tc>
        <w:tc>
          <w:tcPr>
            <w:tcW w:w="109" w:type="dxa"/>
            <w:tcBorders/>
            <w:vAlign w:val="center"/>
          </w:tcPr>
          <w:p>
            <w:pPr>
              <w:pStyle w:val="TableContents"/>
              <w:bidi w:val="0"/>
              <w:spacing w:before="0" w:after="0"/>
              <w:ind w:left="0" w:right="0" w:hanging="0"/>
              <w:jc w:val="left"/>
              <w:rPr/>
            </w:pPr>
            <w:r>
              <w:rPr/>
              <w:t>​</w:t>
            </w:r>
          </w:p>
        </w:tc>
        <w:tc>
          <w:tcPr>
            <w:tcW w:w="4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2025</w:t>
            </w:r>
          </w:p>
        </w:tc>
        <w:tc>
          <w:tcPr>
            <w:tcW w:w="109" w:type="dxa"/>
            <w:tcBorders/>
            <w:shd w:fill="CCEEFF" w:val="clear"/>
            <w:vAlign w:val="center"/>
          </w:tcPr>
          <w:p>
            <w:pPr>
              <w:pStyle w:val="TableContents"/>
              <w:bidi w:val="0"/>
              <w:spacing w:before="0" w:after="0"/>
              <w:ind w:left="0" w:right="0" w:hanging="0"/>
              <w:jc w:val="left"/>
              <w:rPr/>
            </w:pPr>
            <w:r>
              <w:rPr/>
              <w:t>​</w:t>
            </w:r>
          </w:p>
        </w:tc>
        <w:tc>
          <w:tcPr>
            <w:tcW w:w="4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0"/>
        <w:ind w:left="0" w:right="0" w:firstLine="360"/>
        <w:jc w:val="left"/>
        <w:rPr/>
      </w:pPr>
      <w:r>
        <w:rPr/>
        <w:t>​</w:t>
      </w:r>
    </w:p>
    <w:p>
      <w:pPr>
        <w:pStyle w:val="TextBody"/>
        <w:bidi w:val="0"/>
        <w:spacing w:before="280" w:after="0"/>
        <w:ind w:left="0" w:right="0" w:firstLine="360"/>
        <w:jc w:val="left"/>
        <w:rPr>
          <w:rFonts w:ascii="Arial Unicode MS" w:hAnsi="Arial Unicode MS"/>
          <w:sz w:val="18"/>
        </w:rPr>
      </w:pPr>
      <w:r>
        <w:rPr>
          <w:rFonts w:ascii="Times New Roman;Times;serif" w:hAnsi="Times New Roman;Times;serif"/>
          <w:sz w:val="20"/>
        </w:rPr>
        <w:t>Included in amounts reclassified from accumulated other comprehensive (loss) income, net of tax for the three months ended March 31, 2025 is $76</w:t>
      </w:r>
      <w:r>
        <w:rPr>
          <w:rFonts w:ascii="Arial Unicode MS" w:hAnsi="Arial Unicode MS"/>
          <w:sz w:val="18"/>
        </w:rPr>
        <w:t xml:space="preserve"> </w:t>
      </w:r>
      <w:r>
        <w:rPr>
          <w:rFonts w:ascii="Times New Roman;Times;serif" w:hAnsi="Times New Roman;Times;serif"/>
          <w:sz w:val="20"/>
        </w:rPr>
        <w:t>of realized gain, which is included in “Other income” on the unaudited condensed consolidated statements of income.</w:t>
      </w:r>
    </w:p>
    <w:p>
      <w:pPr>
        <w:pStyle w:val="TextBody"/>
        <w:bidi w:val="0"/>
        <w:spacing w:before="28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7–Segment Information</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Arial Unicode MS" w:hAnsi="Arial Unicode MS"/>
          <w:sz w:val="18"/>
        </w:rPr>
      </w:pPr>
      <w:r>
        <w:rPr>
          <w:rFonts w:ascii="Times New Roman;Times;serif" w:hAnsi="Times New Roman;Times;serif"/>
          <w:sz w:val="20"/>
        </w:rPr>
        <w:t>The internal reporting structure used by the Company’s chief operating decision maker, or CODM, to assess performance and allocate resources determines the basis for the Company’s operating segments. The Company’s operations are organized under three</w:t>
      </w:r>
      <w:r>
        <w:rPr>
          <w:rFonts w:ascii="Arial Unicode MS" w:hAnsi="Arial Unicode MS"/>
          <w:sz w:val="18"/>
        </w:rPr>
        <w:t xml:space="preserve"> </w:t>
      </w:r>
      <w:r>
        <w:rPr>
          <w:rFonts w:ascii="Times New Roman;Times;serif" w:hAnsi="Times New Roman;Times;serif"/>
          <w:sz w:val="20"/>
        </w:rPr>
        <w:t xml:space="preserve">reporting segments—the Enterprise Solutions segment, which serves primarily medium-to-large corporations; the Business Solutions segment, which serves primarily small- to medium-sized businesses; and the Public Sector Solutions segment, which serves primarily federal, state, and local government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72" w:name="Tc_ghLa4rnzE0mXC5M8OihBrQ_18_11"/>
      <w:bookmarkStart w:id="873" w:name="Tc_enoNjUzBuE-fywdR_zaM5g_18_0"/>
      <w:bookmarkStart w:id="874" w:name="Tc_G-Co9ajIe0WG2Vu9ZlX4Ag_17_0"/>
      <w:bookmarkStart w:id="875" w:name="Tc_PHWVXAQ-uEmVw4JVcGASUQ_16_11"/>
      <w:bookmarkStart w:id="876" w:name="Tc_0FxAkpQRak2CO8k2uObgDQ_16_8"/>
      <w:bookmarkStart w:id="877" w:name="Tc_mfb00EadAE6LUAJ-LXjR8w_16_5"/>
      <w:bookmarkStart w:id="878" w:name="Tc_3tSITrcgY0aN8ZpWirWdrg_16_2"/>
      <w:bookmarkStart w:id="879" w:name="Tc_as3cIGwE_EyJzf2JVmYxcg_16_0"/>
      <w:bookmarkStart w:id="880" w:name="Tc_C2llgvKXXke_XYdVzzMLaA_14_11"/>
      <w:bookmarkStart w:id="881" w:name="Tc_2VFoc2X790GWiIL2NGSyVw_14_0"/>
      <w:bookmarkStart w:id="882" w:name="Tc_NaRmw3hs70aW4U660ZV8Gw_13_0"/>
      <w:bookmarkStart w:id="883" w:name="Tc_B6_ura-nTk-3z0t5G7C3Ug_12_0"/>
      <w:bookmarkStart w:id="884" w:name="Tc_vL3JgnkvUUyFpttgRRkdgA_11_0"/>
      <w:bookmarkStart w:id="885" w:name="Tc_IrJYz0TJ9kilEDrAq5fwOg_10_11"/>
      <w:bookmarkStart w:id="886" w:name="Tc_iNg4moThO0WsupDenZcgSQ_10_8"/>
      <w:bookmarkStart w:id="887" w:name="Tc_0T9f-Y8X50iT5UYpicL1hQ_10_5"/>
      <w:bookmarkStart w:id="888" w:name="Tc_s6eM87xWW0ONzgc2D2TLTw_10_2"/>
      <w:bookmarkStart w:id="889" w:name="Tc_2ZY3fzcsV0qazgR9JMy4vA_10_0"/>
      <w:bookmarkStart w:id="890" w:name="Tc_0wD_tpjy3EitSzzldnfexw_9_0"/>
      <w:bookmarkStart w:id="891" w:name="Tc_Bw7UKs9FzU6XW0qfPqbSGA_8_0"/>
      <w:bookmarkStart w:id="892" w:name="Tc_ZXRDmV0ru06Y2Vo4sFth4A_7_0"/>
      <w:bookmarkStart w:id="893" w:name="Tc_Cjiw6nvRYUelLehPntAodQ_6_0"/>
      <w:bookmarkStart w:id="894" w:name="Tc_at8qlYnK6EGKDIdxq2gCXg_5_0"/>
      <w:bookmarkStart w:id="895" w:name="Tc_hB42S9jo8kWSmk3AZu7i7g_4_0"/>
      <w:bookmarkStart w:id="896" w:name="Tc_L3aZsySi_02LOSKD24GCIw_3_11"/>
      <w:bookmarkStart w:id="897" w:name="Tc_prEPrfWMckO7_ZzYJYKyLA_3_8"/>
      <w:bookmarkStart w:id="898" w:name="Tc_kSHsM9X1SkOiYKnE79_scA_3_5"/>
      <w:bookmarkStart w:id="899" w:name="Tc_jU-i82bHSE-QdXDpRgNjuw_3_2"/>
      <w:bookmarkStart w:id="900" w:name="Tc_vN7CeEm_RESXBlb7lE_QEw_3_0"/>
      <w:bookmarkStart w:id="901" w:name="Tc_mzz7paFxCE2NPbeY3ft2ww_2_11"/>
      <w:bookmarkStart w:id="902" w:name="Tc_aBoA6Ln4SU2AH13zzdmwQw_2_8"/>
      <w:bookmarkStart w:id="903" w:name="Tc_wahopbIKCUa3KdBS4AdY7Q_2_5"/>
      <w:bookmarkStart w:id="904" w:name="Tc_Ohym4GxdOEemBzsu5QpmqA_2_2"/>
      <w:bookmarkStart w:id="905" w:name="Tc_wTOr2Iv3x0S_kVXAuyzlSA_1_2"/>
      <w:bookmarkStart w:id="906" w:name="_beedbecc_40c0_40df_bd66_74b2f5b39c24"/>
      <w:bookmarkStart w:id="907" w:name="Tc_MNYSxO9hL0-XAzzkLBQeOA_18_11"/>
      <w:bookmarkStart w:id="908" w:name="Tc_t6tMLDcEv0686ofeyfm4Fg_18_0"/>
      <w:bookmarkStart w:id="909" w:name="Tc_o_5Mx2nkNUqLvvYa7d4boQ_17_0"/>
      <w:bookmarkStart w:id="910" w:name="Tc_gYcBx1c3MUWKQHm-sgiy_A_16_11"/>
      <w:bookmarkStart w:id="911" w:name="Tc_kmpz3oCBeUa7Jh5lmnd4Ow_16_8"/>
      <w:bookmarkStart w:id="912" w:name="Tc_SEb7Gh6ubEuD369IZfaPpA_16_5"/>
      <w:bookmarkStart w:id="913" w:name="Tc_pj0gitHGjkSnWX5ysRf2Bg_16_2"/>
      <w:bookmarkStart w:id="914" w:name="Tc_SKLvRqPIHEuVLPe4PrmUiA_16_0"/>
      <w:bookmarkStart w:id="915" w:name="Tc_vtCimWTBgEKoZjiiJ5kLSw_14_11"/>
      <w:bookmarkStart w:id="916" w:name="Tc_0kMRiXx4v0ivvnlCN9uVgQ_14_0"/>
      <w:bookmarkStart w:id="917" w:name="Tc_uVSB9mkb7k-jHzpYny3iXw_13_12"/>
      <w:bookmarkStart w:id="918" w:name="Tc_cQQU8NAypkqIlT_SBdGMUQ_13_0"/>
      <w:bookmarkStart w:id="919" w:name="Tc_AvbOMRsQUk-N2Qr6pUxzmA_12_0"/>
      <w:bookmarkStart w:id="920" w:name="Tc_rf8qwNbC10yLm3HeoK6f-Q_11_0"/>
      <w:bookmarkStart w:id="921" w:name="Tc_dz3WZDcPgUy7RoVn2ZgXRQ_10_11"/>
      <w:bookmarkStart w:id="922" w:name="Tc_GIbKtHNKF0GybMc36pp7fA_10_8"/>
      <w:bookmarkStart w:id="923" w:name="Tc_hp0mK30Bx0-B5p6Cdb5cTQ_10_5"/>
      <w:bookmarkStart w:id="924" w:name="Tc_7lD04YLGDkKqsto58vTKsg_10_2"/>
      <w:bookmarkStart w:id="925" w:name="Tc_sww8qm5d1kSFzfWIt5ESPw_10_0"/>
      <w:bookmarkStart w:id="926" w:name="Tc_rtNvNRqpO0ixS03vlXgZfg_9_0"/>
      <w:bookmarkStart w:id="927" w:name="Tc_M7bPS56YMkWfRYkN-aBqbA_8_0"/>
      <w:bookmarkStart w:id="928" w:name="Tc_du0byqK0sk-An2FIcRserw_7_0"/>
      <w:bookmarkStart w:id="929" w:name="Tc_-dtNaEVcQEiWcCCfgqi3jw_6_0"/>
      <w:bookmarkStart w:id="930" w:name="Tc_dXQ2msPP1Ui5I6w7iOsj8w_5_0"/>
      <w:bookmarkStart w:id="931" w:name="Tc_MstWaY6AmUmDx74IUXakNQ_4_0"/>
      <w:bookmarkStart w:id="932" w:name="Tc_K0TINONMgU21wczxxwg5_Q_3_11"/>
      <w:bookmarkStart w:id="933" w:name="Tc_pt60bNl9MUagpLLS7ICkIw_3_8"/>
      <w:bookmarkStart w:id="934" w:name="Tc_6OcaUuetRESQZZHbzdejNw_3_5"/>
      <w:bookmarkStart w:id="935" w:name="Tc_rWOxrNtek0mwwnwM2GuYEw_3_2"/>
      <w:bookmarkStart w:id="936" w:name="Tc_jc4C5KkKtUuXE2-V4JZahw_3_0"/>
      <w:bookmarkStart w:id="937" w:name="Tc_JhMd8XxmhES5fSoqcf8Emw_2_11"/>
      <w:bookmarkStart w:id="938" w:name="Tc_JEDtY9tCgUOKgZ_SjXUZIw_2_8"/>
      <w:bookmarkStart w:id="939" w:name="Tc_G0IXKhXq9k-Wfb70JcjNug_2_5"/>
      <w:bookmarkStart w:id="940" w:name="Tc_7w99SxNR8UuDKIrfuzULhA_2_2"/>
      <w:bookmarkStart w:id="941" w:name="Tc_xJLTFXOvy0mOMqIHcW7xyQ_1_2"/>
      <w:bookmarkStart w:id="942" w:name="_e9c3dc4e_4d8e_4f59_a31b_a0517ff0574f"/>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r>
        <w:rPr>
          <w:rFonts w:ascii="Times New Roman;Times;serif" w:hAnsi="Times New Roman;Times;serif"/>
          <w:sz w:val="20"/>
        </w:rPr>
        <w:t>educational institutions. In addition, the Headquarters/Other provides services in areas such as finance, human resources, IT, marketing, and product management. Most of the operating costs associated with the Headquarters/Other functions are charged to the operating segments based on their estimated usage of the underlying functions. The Company reports these charges to the operating segments as “Allocations”. Headquarters/Other amounts that are not allocated to the operating segments are shown as reconciling items in the tables below.</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Company’s CODM is its Chief Executive Officer, and he assesses the segments’ performance by using each segments’ operating income (which includes certain corporate overhead allocations attributable to each of the segments). Net sales presented below exclude inter-segment product revenues. The CODM uses operating income for each segment in the annual budget, periodic forecasting, and quarterly results processes.</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Segment information applicable to the Company’s operating segments and the related reconciliations to consolidated amounts for the three months ended March 31, 2026 and 2025 are shown below (in thousands):</w:t>
      </w:r>
    </w:p>
    <w:p>
      <w:pPr>
        <w:pStyle w:val="TextBody"/>
        <w:bidi w:val="0"/>
        <w:spacing w:before="100" w:after="100"/>
        <w:ind w:left="0" w:right="0" w:hanging="0"/>
        <w:jc w:val="left"/>
        <w:rPr/>
      </w:pPr>
      <w:r>
        <w:rPr/>
        <w:t>​</w:t>
      </w:r>
    </w:p>
    <w:tbl>
      <w:tblPr>
        <w:tblW w:w="8955" w:type="dxa"/>
        <w:jc w:val="left"/>
        <w:tblInd w:w="0" w:type="dxa"/>
        <w:tblLayout w:type="fixed"/>
        <w:tblCellMar>
          <w:top w:w="0" w:type="dxa"/>
          <w:left w:w="0" w:type="dxa"/>
          <w:bottom w:w="0" w:type="dxa"/>
          <w:right w:w="0" w:type="dxa"/>
        </w:tblCellMar>
      </w:tblPr>
      <w:tblGrid>
        <w:gridCol w:w="3511"/>
        <w:gridCol w:w="346"/>
        <w:gridCol w:w="211"/>
        <w:gridCol w:w="781"/>
        <w:gridCol w:w="346"/>
        <w:gridCol w:w="211"/>
        <w:gridCol w:w="781"/>
        <w:gridCol w:w="109"/>
        <w:gridCol w:w="253"/>
        <w:gridCol w:w="813"/>
        <w:gridCol w:w="346"/>
        <w:gridCol w:w="211"/>
        <w:gridCol w:w="103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229485" cy="175895"/>
                      <wp:effectExtent l="0" t="0" r="0" b="0"/>
                      <wp:wrapNone/>
                      <wp:docPr id="136" name="Frame136"/>
                      <a:graphic xmlns:a="http://schemas.openxmlformats.org/drawingml/2006/main">
                        <a:graphicData uri="http://schemas.microsoft.com/office/word/2010/wordprocessingShape">
                          <wps:wsp>
                            <wps:cNvSpPr txBox="1"/>
                            <wps:spPr>
                              <a:xfrm>
                                <a:off x="0" y="0"/>
                                <a:ext cx="2229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895"/>
                      <wp:effectExtent l="0" t="0" r="0" b="0"/>
                      <wp:wrapNone/>
                      <wp:docPr id="137" name="Frame13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895"/>
                      <wp:effectExtent l="0" t="0" r="0" b="0"/>
                      <wp:wrapNone/>
                      <wp:docPr id="138" name="Frame13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95935" cy="175895"/>
                      <wp:effectExtent l="0" t="0" r="0" b="0"/>
                      <wp:wrapNone/>
                      <wp:docPr id="139" name="Frame139"/>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895"/>
                      <wp:effectExtent l="0" t="0" r="0" b="0"/>
                      <wp:wrapNone/>
                      <wp:docPr id="140" name="Frame14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895"/>
                      <wp:effectExtent l="0" t="0" r="0" b="0"/>
                      <wp:wrapNone/>
                      <wp:docPr id="141" name="Frame14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95935" cy="175895"/>
                      <wp:effectExtent l="0" t="0" r="0" b="0"/>
                      <wp:wrapNone/>
                      <wp:docPr id="142" name="Frame142"/>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895"/>
                      <wp:effectExtent l="0" t="0" r="0" b="0"/>
                      <wp:wrapNone/>
                      <wp:docPr id="143" name="Frame14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60655" cy="175895"/>
                      <wp:effectExtent l="0" t="0" r="0" b="0"/>
                      <wp:wrapNone/>
                      <wp:docPr id="144" name="Frame144"/>
                      <a:graphic xmlns:a="http://schemas.openxmlformats.org/drawingml/2006/main">
                        <a:graphicData uri="http://schemas.microsoft.com/office/word/2010/wordprocessingShape">
                          <wps:wsp>
                            <wps:cNvSpPr txBox="1"/>
                            <wps:spPr>
                              <a:xfrm>
                                <a:off x="0" y="0"/>
                                <a:ext cx="1606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16255" cy="175895"/>
                      <wp:effectExtent l="0" t="0" r="0" b="0"/>
                      <wp:wrapNone/>
                      <wp:docPr id="145" name="Frame145"/>
                      <a:graphic xmlns:a="http://schemas.openxmlformats.org/drawingml/2006/main">
                        <a:graphicData uri="http://schemas.microsoft.com/office/word/2010/wordprocessingShape">
                          <wps:wsp>
                            <wps:cNvSpPr txBox="1"/>
                            <wps:spPr>
                              <a:xfrm>
                                <a:off x="0" y="0"/>
                                <a:ext cx="5162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895"/>
                      <wp:effectExtent l="0" t="0" r="0" b="0"/>
                      <wp:wrapNone/>
                      <wp:docPr id="146" name="Frame14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895"/>
                      <wp:effectExtent l="0" t="0" r="0" b="0"/>
                      <wp:wrapNone/>
                      <wp:docPr id="147" name="Frame14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57860" cy="175895"/>
                      <wp:effectExtent l="0" t="0" r="0" b="0"/>
                      <wp:wrapNone/>
                      <wp:docPr id="148" name="Frame148"/>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5098"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2026</w: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1"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1"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1"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1" w:after="1"/>
              <w:ind w:left="0" w:right="0" w:hanging="0"/>
              <w:jc w:val="left"/>
              <w:rPr/>
            </w:pPr>
            <w:r>
              <w:rPr/>
              <w:t>  ​ ​ ​</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346,471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275,562</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99,833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721,866</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296,246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208,059</w:t>
            </w:r>
          </w:p>
        </w:tc>
        <w:tc>
          <w:tcPr>
            <w:tcW w:w="109" w:type="dxa"/>
            <w:tcBorders/>
            <w:vAlign w:val="center"/>
          </w:tcPr>
          <w:p>
            <w:pPr>
              <w:pStyle w:val="TableContents"/>
              <w:bidi w:val="0"/>
              <w:spacing w:before="1" w:after="1"/>
              <w:ind w:left="0" w:right="0" w:hanging="0"/>
              <w:jc w:val="left"/>
              <w:rPr/>
            </w:pPr>
            <w:r>
              <w:rPr/>
              <w:t>​</w:t>
            </w:r>
          </w:p>
        </w:tc>
        <w:tc>
          <w:tcPr>
            <w:tcW w:w="253" w:type="dxa"/>
            <w:tcBorders/>
            <w:vAlign w:val="center"/>
          </w:tcPr>
          <w:p>
            <w:pPr>
              <w:pStyle w:val="TableContents"/>
              <w:bidi w:val="0"/>
              <w:spacing w:before="1" w:after="1"/>
              <w:ind w:left="0" w:right="0" w:hanging="0"/>
              <w:jc w:val="left"/>
              <w:rPr/>
            </w:pPr>
            <w:r>
              <w:rPr/>
              <w:t> </w:t>
            </w:r>
          </w:p>
        </w:tc>
        <w:tc>
          <w:tcPr>
            <w:tcW w:w="81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84,823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17,913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17,953</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pPr>
            <w:r>
              <w:rPr/>
              <w:t> </w:t>
            </w:r>
          </w:p>
        </w:tc>
        <w:tc>
          <w:tcPr>
            <w:tcW w:w="81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7,802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Marketing</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1,755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3,234</w:t>
            </w:r>
          </w:p>
        </w:tc>
        <w:tc>
          <w:tcPr>
            <w:tcW w:w="109" w:type="dxa"/>
            <w:tcBorders/>
            <w:vAlign w:val="center"/>
          </w:tcPr>
          <w:p>
            <w:pPr>
              <w:pStyle w:val="TableContents"/>
              <w:bidi w:val="0"/>
              <w:spacing w:before="1" w:after="1"/>
              <w:ind w:left="0" w:right="0" w:hanging="0"/>
              <w:jc w:val="left"/>
              <w:rPr/>
            </w:pPr>
            <w:r>
              <w:rPr/>
              <w:t>​</w:t>
            </w:r>
          </w:p>
        </w:tc>
        <w:tc>
          <w:tcPr>
            <w:tcW w:w="253"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Allocated corporate overhead</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18,763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22,574</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11,285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109" w:type="dxa"/>
            <w:tcBorders/>
            <w:vAlign w:val="center"/>
          </w:tcPr>
          <w:p>
            <w:pPr>
              <w:pStyle w:val="TableContents"/>
              <w:bidi w:val="0"/>
              <w:spacing w:before="1" w:after="1"/>
              <w:ind w:left="0" w:right="0" w:hanging="0"/>
              <w:jc w:val="left"/>
              <w:rPr/>
            </w:pPr>
            <w:r>
              <w:rPr/>
              <w:t>​</w:t>
            </w:r>
          </w:p>
        </w:tc>
        <w:tc>
          <w:tcPr>
            <w:tcW w:w="253"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sz w:val="15"/>
              </w:rPr>
              <w:t>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896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1,703</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1,223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10,701</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21,885</w:t>
            </w:r>
          </w:p>
        </w:tc>
        <w:tc>
          <w:tcPr>
            <w:tcW w:w="109" w:type="dxa"/>
            <w:tcBorders/>
            <w:vAlign w:val="center"/>
          </w:tcPr>
          <w:p>
            <w:pPr>
              <w:pStyle w:val="TableContents"/>
              <w:bidi w:val="0"/>
              <w:spacing w:before="1"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(6,054)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26,532</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Unallocated Headquarters/Other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right"/>
              <w:rPr/>
            </w:pPr>
            <w:r>
              <w:rPr/>
              <w:t> </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(6,307)</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53"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righ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3,363</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53"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23,588</w:t>
            </w:r>
          </w:p>
        </w:tc>
      </w:tr>
      <w:tr>
        <w:trPr/>
        <w:tc>
          <w:tcPr>
            <w:tcW w:w="351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lef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835,438</w:t>
            </w:r>
          </w:p>
        </w:tc>
        <w:tc>
          <w:tcPr>
            <w:tcW w:w="346"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671,750</w:t>
            </w:r>
          </w:p>
        </w:tc>
        <w:tc>
          <w:tcPr>
            <w:tcW w:w="109" w:type="dxa"/>
            <w:tcBorders/>
            <w:vAlign w:val="center"/>
          </w:tcPr>
          <w:p>
            <w:pPr>
              <w:pStyle w:val="TableContents"/>
              <w:bidi w:val="0"/>
              <w:spacing w:before="1" w:after="1"/>
              <w:ind w:left="0" w:right="0" w:hanging="0"/>
              <w:jc w:val="right"/>
              <w:rPr/>
            </w:pPr>
            <w:r>
              <w:rPr/>
              <w:t>​</w:t>
            </w:r>
          </w:p>
        </w:tc>
        <w:tc>
          <w:tcPr>
            <w:tcW w:w="25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77,280</w:t>
            </w:r>
          </w:p>
        </w:tc>
        <w:tc>
          <w:tcPr>
            <w:tcW w:w="346"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1,584,468</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Headquarters/Other assets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53"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(159,450)</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Consolidated assets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253"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1,425,018</w:t>
            </w:r>
          </w:p>
        </w:tc>
      </w:tr>
    </w:tbl>
    <w:p>
      <w:pPr>
        <w:pStyle w:val="TextBody"/>
        <w:bidi w:val="0"/>
        <w:spacing w:before="100" w:after="100"/>
        <w:ind w:left="0" w:right="0" w:hanging="0"/>
        <w:jc w:val="left"/>
        <w:rPr/>
      </w:pPr>
      <w:r>
        <w:rPr/>
        <w:t>​</w:t>
      </w:r>
    </w:p>
    <w:tbl>
      <w:tblPr>
        <w:tblW w:w="8955" w:type="dxa"/>
        <w:jc w:val="left"/>
        <w:tblInd w:w="0" w:type="dxa"/>
        <w:tblLayout w:type="fixed"/>
        <w:tblCellMar>
          <w:top w:w="0" w:type="dxa"/>
          <w:left w:w="0" w:type="dxa"/>
          <w:bottom w:w="0" w:type="dxa"/>
          <w:right w:w="0" w:type="dxa"/>
        </w:tblCellMar>
      </w:tblPr>
      <w:tblGrid>
        <w:gridCol w:w="3511"/>
        <w:gridCol w:w="346"/>
        <w:gridCol w:w="211"/>
        <w:gridCol w:w="781"/>
        <w:gridCol w:w="346"/>
        <w:gridCol w:w="211"/>
        <w:gridCol w:w="781"/>
        <w:gridCol w:w="109"/>
        <w:gridCol w:w="226"/>
        <w:gridCol w:w="840"/>
        <w:gridCol w:w="346"/>
        <w:gridCol w:w="211"/>
        <w:gridCol w:w="103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229485" cy="175895"/>
                      <wp:effectExtent l="0" t="0" r="0" b="0"/>
                      <wp:wrapNone/>
                      <wp:docPr id="149" name="Frame149"/>
                      <a:graphic xmlns:a="http://schemas.openxmlformats.org/drawingml/2006/main">
                        <a:graphicData uri="http://schemas.microsoft.com/office/word/2010/wordprocessingShape">
                          <wps:wsp>
                            <wps:cNvSpPr txBox="1"/>
                            <wps:spPr>
                              <a:xfrm>
                                <a:off x="0" y="0"/>
                                <a:ext cx="2229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895"/>
                      <wp:effectExtent l="0" t="0" r="0" b="0"/>
                      <wp:wrapNone/>
                      <wp:docPr id="150" name="Frame15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895"/>
                      <wp:effectExtent l="0" t="0" r="0" b="0"/>
                      <wp:wrapNone/>
                      <wp:docPr id="151" name="Frame15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895"/>
                      <wp:effectExtent l="0" t="0" r="0" b="0"/>
                      <wp:wrapNone/>
                      <wp:docPr id="152" name="Frame152"/>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895"/>
                      <wp:effectExtent l="0" t="0" r="0" b="0"/>
                      <wp:wrapNone/>
                      <wp:docPr id="153" name="Frame15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895"/>
                      <wp:effectExtent l="0" t="0" r="0" b="0"/>
                      <wp:wrapNone/>
                      <wp:docPr id="154" name="Frame15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95935" cy="175895"/>
                      <wp:effectExtent l="0" t="0" r="0" b="0"/>
                      <wp:wrapNone/>
                      <wp:docPr id="155" name="Frame155"/>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895"/>
                      <wp:effectExtent l="0" t="0" r="0" b="0"/>
                      <wp:wrapNone/>
                      <wp:docPr id="156" name="Frame15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43510" cy="175895"/>
                      <wp:effectExtent l="0" t="0" r="0" b="0"/>
                      <wp:wrapNone/>
                      <wp:docPr id="157" name="Frame157"/>
                      <a:graphic xmlns:a="http://schemas.openxmlformats.org/drawingml/2006/main">
                        <a:graphicData uri="http://schemas.microsoft.com/office/word/2010/wordprocessingShape">
                          <wps:wsp>
                            <wps:cNvSpPr txBox="1"/>
                            <wps:spPr>
                              <a:xfrm>
                                <a:off x="0" y="0"/>
                                <a:ext cx="143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33400" cy="175895"/>
                      <wp:effectExtent l="0" t="0" r="0" b="0"/>
                      <wp:wrapNone/>
                      <wp:docPr id="158" name="Frame158"/>
                      <a:graphic xmlns:a="http://schemas.openxmlformats.org/drawingml/2006/main">
                        <a:graphicData uri="http://schemas.microsoft.com/office/word/2010/wordprocessingShape">
                          <wps:wsp>
                            <wps:cNvSpPr txBox="1"/>
                            <wps:spPr>
                              <a:xfrm>
                                <a:off x="0" y="0"/>
                                <a:ext cx="5334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895"/>
                      <wp:effectExtent l="0" t="0" r="0" b="0"/>
                      <wp:wrapNone/>
                      <wp:docPr id="159" name="Frame15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895"/>
                      <wp:effectExtent l="0" t="0" r="0" b="0"/>
                      <wp:wrapNone/>
                      <wp:docPr id="160" name="Frame16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57860" cy="175895"/>
                      <wp:effectExtent l="0" t="0" r="0" b="0"/>
                      <wp:wrapNone/>
                      <wp:docPr id="161" name="Frame161"/>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5098"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1"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1"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1"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1" w:after="1"/>
              <w:ind w:left="0" w:right="0" w:hanging="0"/>
              <w:jc w:val="left"/>
              <w:rPr/>
            </w:pPr>
            <w:r>
              <w:rPr/>
              <w:t>  ​ ​ ​</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298,003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258,385</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144,658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701,046</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255,705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192,978</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 </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125,052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16,170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17,775</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 </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9,586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Marketing</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2,097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4,839</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1,084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Allocated corporate overhead</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18,290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21,476</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10,738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sz w:val="15"/>
              </w:rPr>
              <w:t>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1,047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2,745</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1,517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4,502</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18,417</w:t>
            </w:r>
          </w:p>
        </w:tc>
        <w:tc>
          <w:tcPr>
            <w:tcW w:w="109" w:type="dxa"/>
            <w:tcBorders/>
            <w:vAlign w:val="center"/>
          </w:tcPr>
          <w:p>
            <w:pPr>
              <w:pStyle w:val="TableContents"/>
              <w:bidi w:val="0"/>
              <w:spacing w:before="1"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(3,342)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19,577</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Unallocated Headquarters/Other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right"/>
              <w:rPr/>
            </w:pPr>
            <w:r>
              <w:rPr/>
              <w:t> </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(5,055)</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righ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3,900</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18,498</w:t>
            </w:r>
          </w:p>
        </w:tc>
      </w:tr>
      <w:tr>
        <w:trPr/>
        <w:tc>
          <w:tcPr>
            <w:tcW w:w="351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lef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743,050</w:t>
            </w:r>
          </w:p>
        </w:tc>
        <w:tc>
          <w:tcPr>
            <w:tcW w:w="346"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578,687</w:t>
            </w:r>
          </w:p>
        </w:tc>
        <w:tc>
          <w:tcPr>
            <w:tcW w:w="109" w:type="dxa"/>
            <w:tcBorders/>
            <w:vAlign w:val="center"/>
          </w:tcPr>
          <w:p>
            <w:pPr>
              <w:pStyle w:val="TableContents"/>
              <w:bidi w:val="0"/>
              <w:spacing w:before="1" w:after="1"/>
              <w:ind w:left="0" w:right="0" w:hanging="0"/>
              <w:jc w:val="right"/>
              <w:rPr/>
            </w:pPr>
            <w:r>
              <w:rPr/>
              <w:t>​</w:t>
            </w:r>
          </w:p>
        </w:tc>
        <w:tc>
          <w:tcPr>
            <w:tcW w:w="22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104,557</w:t>
            </w:r>
          </w:p>
        </w:tc>
        <w:tc>
          <w:tcPr>
            <w:tcW w:w="346"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1,426,294</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Headquarters/Other assets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(178,791)</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Consolidated assets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1,247,503</w:t>
            </w:r>
          </w:p>
        </w:tc>
      </w:tr>
    </w:tbl>
    <w:p>
      <w:pPr>
        <w:pStyle w:val="TextBody"/>
        <w:bidi w:val="0"/>
        <w:spacing w:before="100" w:after="10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expenses for each of the reportable segments include service contracts/subscriptions, professional fees, facilities operations, credit card fees, and other miscellaneous expenses.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Arial Unicode MS" w:hAnsi="Arial Unicode MS"/>
          <w:sz w:val="18"/>
        </w:rPr>
      </w:pPr>
      <w:r>
        <w:rPr>
          <w:rFonts w:ascii="Times New Roman;Times;serif" w:hAnsi="Times New Roman;Times;serif"/>
          <w:sz w:val="20"/>
        </w:rPr>
        <w:t>The assets of the Company’s three</w:t>
      </w:r>
      <w:r>
        <w:rPr>
          <w:rFonts w:ascii="Arial Unicode MS" w:hAnsi="Arial Unicode MS"/>
          <w:sz w:val="18"/>
        </w:rPr>
        <w:t xml:space="preserve"> </w:t>
      </w:r>
      <w:r>
        <w:rPr>
          <w:rFonts w:ascii="Times New Roman;Times;serif" w:hAnsi="Times New Roman;Times;serif"/>
          <w:sz w:val="20"/>
        </w:rPr>
        <w:t>operating segments presented above consist primarily of accounts receivable, net intercompany receivables, goodwill, and other intangibles, net. Assets reported under the Headquarters/Other are managed by corporate headquarters, including cash and cash equivalents, short-term investments, inventories, property and equipment, ROU assets, and intercompany balance, net. As of March 31, 2026 and 2025, total assets for the Headquarters/Other were presented net of intercompany balance eliminations of $39,487</w:t>
      </w:r>
      <w:r>
        <w:rPr>
          <w:rFonts w:ascii="Arial Unicode MS" w:hAnsi="Arial Unicode MS"/>
          <w:sz w:val="18"/>
        </w:rPr>
        <w:t xml:space="preserve"> </w:t>
      </w:r>
      <w:r>
        <w:rPr>
          <w:rFonts w:ascii="Times New Roman;Times;serif" w:hAnsi="Times New Roman;Times;serif"/>
          <w:sz w:val="20"/>
        </w:rPr>
        <w:t>and $61,063, respectively. The Company’s capital expenditures consist largely of IT hardware and software purchased to maintain or upgrade its management information systems. These information systems serve all of the Company’s segments, to varying degrees, and accordingly, the CODM does not evaluate capital expenditures on a segment-by-segment basis.</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8–Commitments and Contingencies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is subject to various legal proceedings and claims, which have arisen during the ordinary course of business. The outcomes of such matters are not expected to have a material, adverse effect on the Company’s financial position, results of operations, and/or cash flows.</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is subject to audits by states on sales and income taxes, employment matters, and other assessments. Additional liabilities for these and other audits could be assessed, but such outcomes are not expected to have a material, adverse impact on the Company’s financial position, results of operations, and/or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9–Bank Borrowings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previously had a $50,000 credit facility collateralized by its account receivables that expired March 31, 2025 that the Company elected not to renew or replace. Amounts outstanding under the credit facility bore interest at the daily Bloomberg Short-Term Bank Yield Index, or BSBY Rate, plus a spread based on the Company’s funded debt ratio, or in the absence of BSBY Rate, the </w:t>
      </w:r>
      <w:r>
        <w:rPr>
          <w:rFonts w:ascii="Times New Roman;Times;serif" w:hAnsi="Times New Roman;Times;serif"/>
          <w:b w:val="false"/>
          <w:i w:val="false"/>
          <w:caps w:val="false"/>
          <w:smallCaps w:val="false"/>
          <w:sz w:val="20"/>
        </w:rPr>
        <w:t>prime rate</w:t>
      </w:r>
      <w:r>
        <w:rPr>
          <w:rFonts w:ascii="Times New Roman;Times;serif" w:hAnsi="Times New Roman;Times;serif"/>
          <w:sz w:val="20"/>
        </w:rPr>
        <w:t xml:space="preserve"> (7.50% at March 31, 2025).</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receipts were automatically applied against any outstanding borrowings. During the three months ended March 31, 2025, the Company borrowed incremental amounts that were each repaid in full. These borrowings for the three months ended March 31, 2025 totaled $732; however, at no time were the outstanding borrowings greater than the $50,000 limit under the credit facility. The Company had no outstanding borrowings under the credit facility immediately prior to the expiration of the credit facility.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10–Supplier Finance Programs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has agreements with third-party financial institutions, instituted by request of participating suppliers, that allow for the ability to finance payment obligations from the Company. The third-party financial institutions have separate arrangements with the Company’s suppliers and provide them with the option to request early payment for invoices confirmed by the Company. The Company does not determine the terms or conditions of the arrangements between the third-parties and its suppliers and receives no compensation from the third-party financial institutions. The Company’s obligation to its suppliers, including amounts due and scheduled payment dates, are not impacted by the suppliers’ decisions to finance amounts under the arrangements. The payment terms under these arrangements are typical with industry standards and range from 30 to 50 days. The agreements with the financial institutions are collateralized by the inventory purchased through the financing agreements. The Company’s outstanding payment obligations under the supplier finance programs, which are included in </w:t>
      </w:r>
      <w:r>
        <w:rPr>
          <w:rFonts w:ascii="Times New Roman;Times;serif" w:hAnsi="Times New Roman;Times;serif"/>
          <w:b w:val="false"/>
          <w:i w:val="false"/>
          <w:caps w:val="false"/>
          <w:smallCaps w:val="false"/>
          <w:sz w:val="20"/>
        </w:rPr>
        <w:t>accounts payable</w:t>
      </w:r>
      <w:r>
        <w:rPr>
          <w:rFonts w:ascii="Times New Roman;Times;serif" w:hAnsi="Times New Roman;Times;serif"/>
          <w:sz w:val="20"/>
        </w:rPr>
        <w:t xml:space="preserve"> on the condensed consolidated balance sheets, were $95,995 and $58,563 at March 31, 2026 and December 31,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11–Supplemental Cash Flow Information</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Income tax paid, net of refunds received for the three months ended March 31, 2026 was $738. Income taxes paid for the three months ended March 31, 2025 was $3,059.</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43" w:name="Item2ManagementsDiscussionandAnalysisofF"/>
      <w:bookmarkStart w:id="944" w:name="_a9c4f1f8_1dc7_4972_ad79_80138a024b80"/>
      <w:bookmarkEnd w:id="943"/>
      <w:bookmarkEnd w:id="944"/>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CAUTIONARY NOTE CONCERNING FORWARD-LOOKING STATEMENTS</w:t>
      </w:r>
    </w:p>
    <w:p>
      <w:pPr>
        <w:pStyle w:val="TextBody"/>
        <w:bidi w:val="0"/>
        <w:spacing w:before="0" w:after="120"/>
        <w:ind w:left="0" w:right="0" w:hanging="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Section 27A of the Securities Act of 1933, as amended, and Section 21E of the Securities Exchange Act of 1934, as amended, or the Exchange Act. Forward-looking statements generally relate to future events or our future financial or operating performance and include statements concerning, among other things, our future financial results, business plans (including statements regarding new products and services we may offer and future expenditures, costs and investments), liabilities, impairment charges, competition, and the expected impact of current macroeconomic conditions on our businesses and results of operations. In some cases, you can identify forward-looking statements because they contain words such as “may,” “will,” “would,” “should,” “expects,” “plans,” “could,” “intends,” “target,” “projects,” “believes,” “estimates,” “anticipates,” “potential” or “continue” or the negative of these words or other similar terms or expressions that concern our expectations, strategy, plans or intentions. These statements reflect our current views and are based on assumptions as of the date of this report. Such assumptions are based upon internal estimates and other analyses of current market conditions and trends, management expectations, plans, and strategies, economic conditions, and other factors. These statements are subject to known and unknown risks, uncertainties and other factors that may cause our actual results, performance or achievements to be materially different from expectations or results projected or implied by forward-looking statements.</w:t>
      </w:r>
    </w:p>
    <w:p>
      <w:pPr>
        <w:pStyle w:val="TextBody"/>
        <w:bidi w:val="0"/>
        <w:spacing w:before="0" w:after="120"/>
        <w:ind w:left="0" w:right="0" w:firstLine="36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Such differences may result from actions taken by us, including expense reduction or strategic initiatives (including reductions in force, capital investments and new or expanded product offerings or services), the execution of our business plans (including our inventory management, cost structure and management and other personnel decisions) or other business decisions, as well as from developments beyond our control, including:</w:t>
      </w:r>
    </w:p>
    <w:p>
      <w:pPr>
        <w:pStyle w:val="TextBody"/>
        <w:bidi w:val="0"/>
        <w:spacing w:before="0" w:after="12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macroeconomic factors facing the global economy, including disruptions in or increased volatility of the capital markets, changes in trade policy, which may include the imposition of tariffs or other trade barriers, economic sanctions and economic slowdowns or recessions, government shutdowns, the impact of conflicts in Iran and the Middle East, changes in tax policy, rising inflation and changing interest rates modifying our potential for investment income and the timing thereof or reducing the level of investment our customers are willing to make in IT products;</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supply constraints, such as the global memory (DRAM and NAND) shortage;</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substantial competition reducing our market share;</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significant price competition reducing our profit margins;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loss of any of our major vendors adversely affecting the number or type of products we may offer;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virtualization of information technology, or IT, resources and applications, including networks, servers, applications, and data storage disrupting or altering our traditional distribution models;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service interruptions at third-party shippers negatively impacting our ability to deliver the products we offer to our customers;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increases in shipping and postage costs reducing our margins and adversely affecting our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loss of key persons or the inability to attract, train and retain qualified personnel adversely affecting our ability to operate our business;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cyberattacks or the failure to safeguard personal information and our IT systems resulting in liability and harm to our reputation.</w:t>
            </w:r>
          </w:p>
        </w:tc>
      </w:tr>
    </w:tbl>
    <w:p>
      <w:pPr>
        <w:pStyle w:val="TextBody"/>
        <w:bidi w:val="0"/>
        <w:spacing w:before="0" w:after="100"/>
        <w:ind w:left="0" w:right="0" w:firstLine="360"/>
        <w:jc w:val="left"/>
        <w:rPr>
          <w:rFonts w:ascii="Times New Roman;Times;serif" w:hAnsi="Times New Roman;Times;serif"/>
          <w:i/>
          <w:sz w:val="20"/>
        </w:rPr>
      </w:pPr>
      <w:r>
        <w:rPr>
          <w:rFonts w:ascii="Times New Roman;Times;serif" w:hAnsi="Times New Roman;Times;serif"/>
          <w:i/>
          <w:sz w:val="20"/>
        </w:rPr>
        <w:t>Additional factors include those described in our Annual Report on Form 10-K for the year ended December 31, 2025, including under the captions “Risk Factors,” “Management’s Discussion and Analysis of Financial Condition and Results of Operations,” and “Business,” in our subsequent quarterly reports on Form 10-Q, including under the caption “Management’s Discussion and Analysis of Financial Condition and Results of Operations,” and in the other subsequent filings we make with the Securities and Exchange Commission from time to time.</w:t>
      </w:r>
    </w:p>
    <w:p>
      <w:pPr>
        <w:pStyle w:val="TextBody"/>
        <w:bidi w:val="0"/>
        <w:spacing w:before="0" w:after="100"/>
        <w:ind w:left="0" w:right="0" w:firstLine="360"/>
        <w:jc w:val="left"/>
        <w:rPr>
          <w:rFonts w:ascii="Times New Roman;Times;serif" w:hAnsi="Times New Roman;Times;serif"/>
          <w:i/>
          <w:sz w:val="20"/>
        </w:rPr>
      </w:pPr>
      <w:r>
        <w:rPr>
          <w:rFonts w:ascii="Times New Roman;Times;serif" w:hAnsi="Times New Roman;Times;serif"/>
          <w:i/>
          <w:sz w:val="20"/>
        </w:rPr>
        <w:t>A forward-looking statement is neither a prediction nor a guarantee of future events or circumstances. You should not place undue reliance on the forward-looking statements. We assume no obligation to update any of these forward-looking statements, or to update the reasons actual results could differ materially from those anticipated, to reflect circumstances or events that occur after the statements are made except as required by law.</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Unless the context otherwise requires, we use the terms “Connection”, the “Company”, “we”, “us”, and “our” in this Quarterly Report on Form 10-Q to refer to PC Connection, Inc. and its subsidiaries.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are a Fortune 1000 Global Solutions Provider that simplifies IT, guiding the connection between people and technology. Our dedicated account managers partner with customers to design, deploy, and support cutting-edge IT environments using the latest hardware, software, and services. We provide a wide range of IT solutions, from the desktop to the cloud—including computer systems, data center solutions, security, artificial intelligence, software and peripheral equipment, networking communications, and other products and accessories that we develop internally and secure from manufacturers, distributors, and other suppliers. Our Technology Solutions and Services Organization, or TSSO, and state-of-the-art ISO 9001:2015 SOC 2 Type 2 certified Technology Integration and Distribution Center offer end-to-end services related to the design, configuration, and implementation of IT solutions. Our team also provides a comprehensive portfolio of managed services and professional services. These services are performed by our personnel and by third-party providers. Our GlobalServe offering ensures worldwide coverage for our multinational customers, delivering global procurement solutions through our network of in-country suppliers in over 150 countries.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“Connection” brand includes Connection Enterprise Solutions, Connection Business Solutions, and Connection Public Sector Solutions, which provide IT solutions and services to enterprise, small- to medium-sized businesses, and public sector markets.</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Financial results for each of our segments are included in the financial statements attached hereto. We generate sales through (i) outbound inside sales and field sales contacts by sales representatives focused on the business, educational, healthcare, retail, manufacturing, and government markets, (ii) our websites, and (iii) direct responses from customers responding to our advertising media. We offer a broad selection of over 460,000 products at competitive prices, including products from vendors like Apple, Cisco, Dell Inc., HP Inc., Hewlett-Packard Enterprise, Intel, Lenovo, Microsoft Corporation, and VMware by Broadcom, and we partner with more than 1,600 suppliers. We are able to leverage our state-of-the art logistic capabilities to rapidly ship product to customers.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a value-added reseller in the IT supply chain, we do not manufacture IT hardware or software products. We are dependent on our suppliers—manufacturers and distributors that historically have only sold to resellers rather than directly to end users. However, certain manufacturers have, on multiple occasions, sold or attempted to sell directly to our customers, and in some cases, have restricted our ability to sell their products directly to certain customers, thereby attempting to and, in some cases successfully, eliminate our role. We believe that the success of these direct sales efforts by manufacturers will depend on their ability to meet our customers’ ongoing demands and provide solutions to meet their needs. We believe more of our customers are seeking out comprehensive and integrated IT solutions, rather than the ability to acquire specific IT products on a one-off basis. Our advantage is our ability to be product-neutral and provide a broader combination of products, services, and advice tailored to our customers’ individual needs. By providing customers with customized solutions from a variety of manufacturers, we believe we can mitigate the negative impact of continued direct sales initiatives from individual manufacturers. Through the formation of our TSSO, we are able to provide customers complete IT solutions, from identifying their needs, to designing, developing, and managing the integration of products and services to implement their IT projects. Such service offerings carry higher margins than traditional product sales. Additionally, the technical certifications of our service engineers permit us to offer higher-end, more complex products that generally carry higher gross margins. We expect these service offerings and technical certifications to continue to play a role in sales generation and gross margin improvements in this competitive environment.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primary challenges we continue to face in effectively managing our business are (1) increasing our product and service revenues while at the same time improving our gross margin in all three segments, (2) recruiting, retaining, and improving the productivity of our sales and technical support personnel, and (3) effectively controlling our selling, general and administrative, or SG&amp;A, expenses while making major investments in our IT systems and solution selling personnel, especially in relation to changing revenue levels.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 support future growth, we have invested and expect to continue to invest in our IT solutions business, which requires the addition of highly skilled service engineers. Although we expect to realize the ultimate benefit of higher-margin service revenues under this multi-year initiative, we believe that our cost of services will increase as we add additional service engineers. If our service revenues do not grow enough to offset the cost of these headcount additions, our operating results may be negatively impacted.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Market conditions and technology advances significantly affect the demand for our products and services. Virtual delivery of software products and advanced Internet technology providing customers enhanced functionality have substantially increased customer expectations, requiring us to invest on an ongoing basis in our own IT infrastructure to meet these new demands.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investments in IT infrastructure are designed to enable us to operate more efficiently and provide our customers enhanced functionality.</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ongoing global memory shortage (DRAM and NAND) could result in increased inventory costs, which may reduce our margins or require us to raise prices. The memory shortage could additionally result in a lack of availability of products, which could negatively impact our results of operations. As a result of these ongoing and anticipated shortages, we may purchase product in advance of customer orders, while customers may accelerate or delay purchasing depending on their capital resources.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U.S. administration has announced or imposed a series of tariffs on U.S. trading partners. In response, several countries have threatened or imposed retaliatory measures. The imposition of new tariffs or increases in existing tariffs on goods imported from countries where our suppliers operate could result in increased inventory costs. These cost increases may reduce our margins or require us to raise prices. We continue to assess the impact of the tariffs on our supply chain. In addition, these actions and threatened actions and increased volatility in financial markets may affect customer decisions about the timing or size of IT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OPERATING METRIC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Billings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utilize key operating metrics to track and assess the performance of our business, including gross billings. Gross billings is the total dollar value of goods and services billed during the period, net of customer returns, credit memos, and any applicable sales or other taxes and includes agency fees, and freight. As certain transactions are recognized on a net basis, gross billings include amounts not recognized in net sales.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use the gross billings operating metric for planning, forecasting, and evaluating the sales performance of our operating segments by providing insight into the total value of our business transactions. We believe that gross billings provides the same insight to investors.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gross billings for each of our operating segments and our consolidated entity (in millions):</w:t>
      </w:r>
    </w:p>
    <w:p>
      <w:pPr>
        <w:pStyle w:val="TextBody"/>
        <w:bidi w:val="0"/>
        <w:spacing w:before="0" w:after="0"/>
        <w:ind w:left="0" w:right="0" w:hanging="0"/>
        <w:jc w:val="left"/>
        <w:rPr/>
      </w:pPr>
      <w:r>
        <w:rPr/>
        <w:t>​</w:t>
      </w:r>
    </w:p>
    <w:tbl>
      <w:tblPr>
        <w:tblW w:w="4623" w:type="dxa"/>
        <w:jc w:val="left"/>
        <w:tblInd w:w="0" w:type="dxa"/>
        <w:tblLayout w:type="fixed"/>
        <w:tblCellMar>
          <w:top w:w="0" w:type="dxa"/>
          <w:left w:w="0" w:type="dxa"/>
          <w:bottom w:w="0" w:type="dxa"/>
          <w:right w:w="0" w:type="dxa"/>
        </w:tblCellMar>
      </w:tblPr>
      <w:tblGrid>
        <w:gridCol w:w="2026"/>
        <w:gridCol w:w="109"/>
        <w:gridCol w:w="242"/>
        <w:gridCol w:w="829"/>
        <w:gridCol w:w="398"/>
        <w:gridCol w:w="242"/>
        <w:gridCol w:w="777"/>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86510" cy="175260"/>
                      <wp:effectExtent l="0" t="0" r="0" b="0"/>
                      <wp:wrapNone/>
                      <wp:docPr id="162" name="Frame162"/>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53670" cy="175260"/>
                      <wp:effectExtent l="0" t="0" r="0" b="0"/>
                      <wp:wrapNone/>
                      <wp:docPr id="164" name="Frame16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26415" cy="175260"/>
                      <wp:effectExtent l="0" t="0" r="0" b="0"/>
                      <wp:wrapNone/>
                      <wp:docPr id="165" name="Frame165"/>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52730" cy="175260"/>
                      <wp:effectExtent l="0" t="0" r="0" b="0"/>
                      <wp:wrapNone/>
                      <wp:docPr id="166" name="Frame166"/>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53670" cy="175260"/>
                      <wp:effectExtent l="0" t="0" r="0" b="0"/>
                      <wp:wrapNone/>
                      <wp:docPr id="167" name="Frame16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93395" cy="175260"/>
                      <wp:effectExtent l="0" t="0" r="0" b="0"/>
                      <wp:wrapNone/>
                      <wp:docPr id="168" name="Frame168"/>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0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8" w:type="dxa"/>
            <w:tcBorders/>
            <w:vAlign w:val="center"/>
          </w:tcPr>
          <w:p>
            <w:pPr>
              <w:pStyle w:val="TableContents"/>
              <w:bidi w:val="0"/>
              <w:spacing w:before="0" w:after="0"/>
              <w:ind w:left="0" w:right="0" w:hanging="0"/>
              <w:jc w:val="left"/>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billings</w:t>
            </w:r>
          </w:p>
        </w:tc>
        <w:tc>
          <w:tcPr>
            <w:tcW w:w="109" w:type="dxa"/>
            <w:tcBorders/>
            <w:shd w:fill="CCEEFF" w:val="clear"/>
            <w:vAlign w:val="center"/>
          </w:tcPr>
          <w:p>
            <w:pPr>
              <w:pStyle w:val="TableContents"/>
              <w:bidi w:val="0"/>
              <w:spacing w:before="0" w:after="0"/>
              <w:ind w:left="0" w:right="0" w:hanging="0"/>
              <w:jc w:val="center"/>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829" w:type="dxa"/>
            <w:tcBorders/>
            <w:shd w:fill="CCEEFF" w:val="clear"/>
            <w:vAlign w:val="center"/>
          </w:tcPr>
          <w:p>
            <w:pPr>
              <w:pStyle w:val="TableContents"/>
              <w:bidi w:val="0"/>
              <w:spacing w:before="0" w:after="0"/>
              <w:ind w:left="0" w:right="0" w:hanging="0"/>
              <w:jc w:val="center"/>
              <w:rPr/>
            </w:pPr>
            <w:r>
              <w:rPr/>
              <w:t>​</w:t>
            </w:r>
          </w:p>
        </w:tc>
        <w:tc>
          <w:tcPr>
            <w:tcW w:w="398" w:type="dxa"/>
            <w:tcBorders/>
            <w:shd w:fill="CCEEFF" w:val="clear"/>
            <w:vAlign w:val="center"/>
          </w:tcPr>
          <w:p>
            <w:pPr>
              <w:pStyle w:val="TableContents"/>
              <w:bidi w:val="0"/>
              <w:spacing w:before="0" w:after="0"/>
              <w:ind w:left="0" w:right="0" w:hanging="0"/>
              <w:jc w:val="center"/>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7" w:type="dxa"/>
            <w:tcBorders/>
            <w:shd w:fill="CCEEFF" w:val="clear"/>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Enterprise Solutions</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439.6</w:t>
            </w:r>
          </w:p>
        </w:tc>
        <w:tc>
          <w:tcPr>
            <w:tcW w:w="398"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398.8</w:t>
            </w:r>
          </w:p>
        </w:tc>
      </w:tr>
      <w:tr>
        <w:trPr/>
        <w:tc>
          <w:tcPr>
            <w:tcW w:w="20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Business Solutions</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righ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446.0</w:t>
            </w:r>
          </w:p>
        </w:tc>
        <w:tc>
          <w:tcPr>
            <w:tcW w:w="398"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w:t>
            </w:r>
          </w:p>
        </w:tc>
      </w:tr>
      <w:tr>
        <w:trPr/>
        <w:tc>
          <w:tcPr>
            <w:tcW w:w="20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Public Sector Solutions</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c>
          <w:tcPr>
            <w:tcW w:w="398" w:type="dxa"/>
            <w:tcBorders/>
            <w:vAlign w:val="center"/>
          </w:tcPr>
          <w:p>
            <w:pPr>
              <w:pStyle w:val="TableContents"/>
              <w:bidi w:val="0"/>
              <w:spacing w:before="0" w:after="0"/>
              <w:ind w:left="0" w:right="0" w:hanging="0"/>
              <w:jc w:val="righ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billings</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1,021.3</w:t>
            </w:r>
          </w:p>
        </w:tc>
        <w:tc>
          <w:tcPr>
            <w:tcW w:w="398" w:type="dxa"/>
            <w:tcBorders/>
            <w:shd w:fill="CCEEFF" w:val="clear"/>
            <w:vAlign w:val="center"/>
          </w:tcPr>
          <w:p>
            <w:pPr>
              <w:pStyle w:val="TableContents"/>
              <w:bidi w:val="0"/>
              <w:spacing w:before="0" w:after="0"/>
              <w:ind w:left="0" w:right="0" w:hanging="0"/>
              <w:jc w:val="righ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979.0</w:t>
            </w:r>
          </w:p>
        </w:tc>
      </w:tr>
    </w:tbl>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derived from our statements of income expressed as a percentage of net sales for the periods indicated (dollars in millions):</w:t>
      </w:r>
    </w:p>
    <w:p>
      <w:pPr>
        <w:pStyle w:val="TextBody"/>
        <w:bidi w:val="0"/>
        <w:spacing w:before="0" w:after="0"/>
        <w:ind w:left="0" w:right="0" w:hanging="0"/>
        <w:jc w:val="left"/>
        <w:rPr/>
      </w:pPr>
      <w:r>
        <w:rPr/>
        <w:t>​</w:t>
      </w:r>
    </w:p>
    <w:tbl>
      <w:tblPr>
        <w:tblW w:w="6650" w:type="dxa"/>
        <w:jc w:val="left"/>
        <w:tblInd w:w="0" w:type="dxa"/>
        <w:tblLayout w:type="fixed"/>
        <w:tblCellMar>
          <w:top w:w="0" w:type="dxa"/>
          <w:left w:w="0" w:type="dxa"/>
          <w:bottom w:w="0" w:type="dxa"/>
          <w:right w:w="0" w:type="dxa"/>
        </w:tblCellMar>
      </w:tblPr>
      <w:tblGrid>
        <w:gridCol w:w="3736"/>
        <w:gridCol w:w="109"/>
        <w:gridCol w:w="268"/>
        <w:gridCol w:w="725"/>
        <w:gridCol w:w="458"/>
        <w:gridCol w:w="268"/>
        <w:gridCol w:w="725"/>
        <w:gridCol w:w="36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372360" cy="175260"/>
                      <wp:effectExtent l="0" t="0" r="0" b="0"/>
                      <wp:wrapNone/>
                      <wp:docPr id="169" name="Frame16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70180" cy="175260"/>
                      <wp:effectExtent l="0" t="0" r="0" b="0"/>
                      <wp:wrapNone/>
                      <wp:docPr id="171" name="Frame17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60375" cy="175260"/>
                      <wp:effectExtent l="0" t="0" r="0" b="0"/>
                      <wp:wrapNone/>
                      <wp:docPr id="172" name="Frame172"/>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90830" cy="175260"/>
                      <wp:effectExtent l="0" t="0" r="0" b="0"/>
                      <wp:wrapNone/>
                      <wp:docPr id="173" name="Frame173"/>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70180" cy="175260"/>
                      <wp:effectExtent l="0" t="0" r="0" b="0"/>
                      <wp:wrapNone/>
                      <wp:docPr id="174" name="Frame17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60375" cy="175260"/>
                      <wp:effectExtent l="0" t="0" r="0" b="0"/>
                      <wp:wrapNone/>
                      <wp:docPr id="175" name="Frame175"/>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29235" cy="175260"/>
                      <wp:effectExtent l="0" t="0" r="0" b="0"/>
                      <wp:wrapNone/>
                      <wp:docPr id="176" name="Frame17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61"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8" w:type="dxa"/>
            <w:tcBorders/>
            <w:vAlign w:val="center"/>
          </w:tcPr>
          <w:p>
            <w:pPr>
              <w:pStyle w:val="TableContents"/>
              <w:bidi w:val="0"/>
              <w:spacing w:before="0" w:after="0"/>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0"/>
              <w:ind w:left="0" w:right="0" w:hanging="0"/>
              <w:jc w:val="righ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721.9</w:t>
            </w:r>
          </w:p>
        </w:tc>
        <w:tc>
          <w:tcPr>
            <w:tcW w:w="458" w:type="dxa"/>
            <w:tcBorders/>
            <w:shd w:fill="CCEEFF" w:val="clear"/>
            <w:vAlign w:val="center"/>
          </w:tcPr>
          <w:p>
            <w:pPr>
              <w:pStyle w:val="TableContents"/>
              <w:bidi w:val="0"/>
              <w:spacing w:before="0" w:after="0"/>
              <w:ind w:left="0" w:right="0" w:hanging="0"/>
              <w:jc w:val="righ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701.0</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righ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8" w:type="dxa"/>
            <w:tcBorders/>
            <w:vAlign w:val="center"/>
          </w:tcPr>
          <w:p>
            <w:pPr>
              <w:pStyle w:val="TableContents"/>
              <w:bidi w:val="0"/>
              <w:spacing w:before="0" w:after="0"/>
              <w:ind w:left="0" w:right="0" w:hanging="0"/>
              <w:jc w:val="righ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8"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8"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Net sales of $721.9 million for the first quarter of 2026 reflect an increase of $20.9 million, or 3.0% compared to the first quarter of 2025. The increase was primarily driven by increases in net sales of other hardware/services, notebooks/mobility, displays and sound, software, net/com products, and accessories of $8.0 million, $7.5 million, $4.6 million, $4.1 million, $3.9 million, and $0.9 million, respectively, as shown in the table in Note 2 “Revenue” in the Notes to our Unaudited Condensed Consolidated Financial Statements. These increases were partially offset by decreases in net sales of servers/storage and desktops of $5.1 million and $3.0 million, respectively. Gross profit for the first quarter of 2026 increased year-over-year by $5.4 million, or 4.3%, to $132.7 million as illustrated in the table and the discussion beginning on page 19 of this Quarterly Report on Form 10-Q. Gross margin increased to 18.4% from 18.2% a year ago. The increase in gross margin was primarily driven by an increase in the amount of software sales recognized on a net basis as these sales are recognized in the financial statements at 100% margin. SG&amp;A expenses as a percentage of net sales decreased to 15.2% compared to 15.7% a year ago, primarily due to the increase in net sales as discussed above. Operating income as a percentage of net sales increased to 2.8% compared to 2.1% a year ago, primarily due to the increases in net sales and gross profit as discussed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945" w:name="ProductMixTable"/>
      <w:bookmarkEnd w:id="945"/>
      <w:r>
        <w:rPr>
          <w:rFonts w:ascii="Times New Roman;Times;serif" w:hAnsi="Times New Roman;Times;serif"/>
          <w:b/>
          <w:i/>
          <w:sz w:val="20"/>
        </w:rPr>
        <w:t>Net Sales Distribution</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946" w:name="Product_Mix_Table"/>
      <w:bookmarkEnd w:id="946"/>
      <w:r>
        <w:rPr>
          <w:rFonts w:ascii="Times New Roman;Times;serif" w:hAnsi="Times New Roman;Times;serif"/>
          <w:sz w:val="20"/>
        </w:rPr>
        <w:t>The following table sets forth our percentage of net sales by segment and product mix for the periods indicated:</w:t>
      </w:r>
    </w:p>
    <w:p>
      <w:pPr>
        <w:pStyle w:val="TextBody"/>
        <w:bidi w:val="0"/>
        <w:spacing w:before="0" w:after="0"/>
        <w:ind w:left="0" w:right="0" w:hanging="0"/>
        <w:jc w:val="both"/>
        <w:rPr/>
      </w:pPr>
      <w:r>
        <w:rPr/>
        <w:t>​</w:t>
      </w:r>
    </w:p>
    <w:tbl>
      <w:tblPr>
        <w:tblW w:w="5075" w:type="dxa"/>
        <w:jc w:val="left"/>
        <w:tblInd w:w="0" w:type="dxa"/>
        <w:tblLayout w:type="fixed"/>
        <w:tblCellMar>
          <w:top w:w="0" w:type="dxa"/>
          <w:left w:w="0" w:type="dxa"/>
          <w:bottom w:w="0" w:type="dxa"/>
          <w:right w:w="0" w:type="dxa"/>
        </w:tblCellMar>
      </w:tblPr>
      <w:tblGrid>
        <w:gridCol w:w="2116"/>
        <w:gridCol w:w="109"/>
        <w:gridCol w:w="881"/>
        <w:gridCol w:w="682"/>
        <w:gridCol w:w="881"/>
        <w:gridCol w:w="40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43660" cy="175895"/>
                      <wp:effectExtent l="0" t="0" r="0" b="0"/>
                      <wp:wrapNone/>
                      <wp:docPr id="177" name="Frame177"/>
                      <a:graphic xmlns:a="http://schemas.openxmlformats.org/drawingml/2006/main">
                        <a:graphicData uri="http://schemas.microsoft.com/office/word/2010/wordprocessingShape">
                          <wps:wsp>
                            <wps:cNvSpPr txBox="1"/>
                            <wps:spPr>
                              <a:xfrm>
                                <a:off x="0" y="0"/>
                                <a:ext cx="1343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895"/>
                      <wp:effectExtent l="0" t="0" r="0" b="0"/>
                      <wp:wrapNone/>
                      <wp:docPr id="178" name="Frame17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59435" cy="175895"/>
                      <wp:effectExtent l="0" t="0" r="0" b="0"/>
                      <wp:wrapNone/>
                      <wp:docPr id="179" name="Frame179"/>
                      <a:graphic xmlns:a="http://schemas.openxmlformats.org/drawingml/2006/main">
                        <a:graphicData uri="http://schemas.microsoft.com/office/word/2010/wordprocessingShape">
                          <wps:wsp>
                            <wps:cNvSpPr txBox="1"/>
                            <wps:spPr>
                              <a:xfrm>
                                <a:off x="0" y="0"/>
                                <a:ext cx="559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33070" cy="175895"/>
                      <wp:effectExtent l="0" t="0" r="0" b="0"/>
                      <wp:wrapNone/>
                      <wp:docPr id="180" name="Frame180"/>
                      <a:graphic xmlns:a="http://schemas.openxmlformats.org/drawingml/2006/main">
                        <a:graphicData uri="http://schemas.microsoft.com/office/word/2010/wordprocessingShape">
                          <wps:wsp>
                            <wps:cNvSpPr txBox="1"/>
                            <wps:spPr>
                              <a:xfrm>
                                <a:off x="0" y="0"/>
                                <a:ext cx="4330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59435" cy="175895"/>
                      <wp:effectExtent l="0" t="0" r="0" b="0"/>
                      <wp:wrapNone/>
                      <wp:docPr id="181" name="Frame181"/>
                      <a:graphic xmlns:a="http://schemas.openxmlformats.org/drawingml/2006/main">
                        <a:graphicData uri="http://schemas.microsoft.com/office/word/2010/wordprocessingShape">
                          <wps:wsp>
                            <wps:cNvSpPr txBox="1"/>
                            <wps:spPr>
                              <a:xfrm>
                                <a:off x="0" y="0"/>
                                <a:ext cx="559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57810" cy="175895"/>
                      <wp:effectExtent l="0" t="0" r="0" b="0"/>
                      <wp:wrapNone/>
                      <wp:docPr id="182" name="Frame182"/>
                      <a:graphic xmlns:a="http://schemas.openxmlformats.org/drawingml/2006/main">
                        <a:graphicData uri="http://schemas.microsoft.com/office/word/2010/wordprocessingShape">
                          <wps:wsp>
                            <wps:cNvSpPr txBox="1"/>
                            <wps:spPr>
                              <a:xfrm>
                                <a:off x="0" y="0"/>
                                <a:ext cx="2578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444" w:type="dxa"/>
            <w:gridSpan w:val="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406" w:type="dxa"/>
            <w:tcBorders/>
            <w:vAlign w:val="center"/>
          </w:tcPr>
          <w:p>
            <w:pPr>
              <w:pStyle w:val="TableContents"/>
              <w:bidi w:val="0"/>
              <w:spacing w:before="1" w:after="1"/>
              <w:ind w:left="0" w:right="0" w:hanging="0"/>
              <w:jc w:val="left"/>
              <w:rPr/>
            </w:pPr>
            <w:r>
              <w:rPr/>
              <w:t>​</w:t>
            </w:r>
          </w:p>
        </w:tc>
      </w:tr>
      <w:tr>
        <w:trPr/>
        <w:tc>
          <w:tcPr>
            <w:tcW w:w="21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88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82" w:type="dxa"/>
            <w:tcBorders/>
            <w:vAlign w:val="center"/>
          </w:tcPr>
          <w:p>
            <w:pPr>
              <w:pStyle w:val="TableContents"/>
              <w:bidi w:val="0"/>
              <w:spacing w:before="1" w:after="1"/>
              <w:ind w:left="0" w:right="0" w:hanging="0"/>
              <w:jc w:val="center"/>
              <w:rPr/>
            </w:pPr>
            <w:r>
              <w:rPr/>
              <w:t>  ​ ​ ​</w:t>
            </w:r>
          </w:p>
        </w:tc>
        <w:tc>
          <w:tcPr>
            <w:tcW w:w="88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1" w:after="1"/>
              <w:ind w:left="0" w:right="0" w:hanging="0"/>
              <w:jc w:val="center"/>
              <w:rPr/>
            </w:pPr>
            <w:r>
              <w:rPr/>
              <w:t>​</w:t>
            </w:r>
          </w:p>
        </w:tc>
      </w:tr>
      <w:tr>
        <w:trPr/>
        <w:tc>
          <w:tcPr>
            <w:tcW w:w="2116"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109" w:type="dxa"/>
            <w:tcBorders/>
            <w:shd w:fill="CCEEFF" w:val="clear"/>
            <w:vAlign w:val="center"/>
          </w:tcPr>
          <w:p>
            <w:pPr>
              <w:pStyle w:val="TableContents"/>
              <w:bidi w:val="0"/>
              <w:spacing w:before="1" w:after="1"/>
              <w:ind w:left="0" w:right="0" w:hanging="0"/>
              <w:jc w:val="right"/>
              <w:rPr/>
            </w:pPr>
            <w:r>
              <w:rPr/>
              <w:t>​</w:t>
            </w:r>
          </w:p>
        </w:tc>
        <w:tc>
          <w:tcPr>
            <w:tcW w:w="881" w:type="dxa"/>
            <w:tcBorders/>
            <w:shd w:fill="CCEEFF" w:val="clear"/>
            <w:vAlign w:val="center"/>
          </w:tcPr>
          <w:p>
            <w:pPr>
              <w:pStyle w:val="TableContents"/>
              <w:bidi w:val="0"/>
              <w:spacing w:before="1" w:after="1"/>
              <w:ind w:left="0" w:right="0" w:hanging="0"/>
              <w:jc w:val="right"/>
              <w:rPr/>
            </w:pPr>
            <w:r>
              <w:rPr/>
              <w:t>​</w:t>
            </w:r>
          </w:p>
        </w:tc>
        <w:tc>
          <w:tcPr>
            <w:tcW w:w="682" w:type="dxa"/>
            <w:tcBorders/>
            <w:shd w:fill="CCEEFF" w:val="clear"/>
            <w:vAlign w:val="center"/>
          </w:tcPr>
          <w:p>
            <w:pPr>
              <w:pStyle w:val="TableContents"/>
              <w:bidi w:val="0"/>
              <w:spacing w:before="1" w:after="1"/>
              <w:ind w:left="0" w:right="0" w:hanging="0"/>
              <w:jc w:val="right"/>
              <w:rPr/>
            </w:pPr>
            <w:r>
              <w:rPr/>
              <w:t>​</w:t>
            </w:r>
          </w:p>
        </w:tc>
        <w:tc>
          <w:tcPr>
            <w:tcW w:w="881" w:type="dxa"/>
            <w:tcBorders/>
            <w:shd w:fill="CCEEFF" w:val="clear"/>
            <w:vAlign w:val="center"/>
          </w:tcPr>
          <w:p>
            <w:pPr>
              <w:pStyle w:val="TableContents"/>
              <w:bidi w:val="0"/>
              <w:spacing w:before="1" w:after="1"/>
              <w:ind w:left="0" w:right="0" w:hanging="0"/>
              <w:jc w:val="right"/>
              <w:rPr/>
            </w:pPr>
            <w:r>
              <w:rPr/>
              <w:t>​</w:t>
            </w:r>
          </w:p>
        </w:tc>
        <w:tc>
          <w:tcPr>
            <w:tcW w:w="406" w:type="dxa"/>
            <w:tcBorders/>
            <w:shd w:fill="CCEEFF" w:val="clear"/>
            <w:vAlign w:val="center"/>
          </w:tcPr>
          <w:p>
            <w:pPr>
              <w:pStyle w:val="TableContents"/>
              <w:bidi w:val="0"/>
              <w:spacing w:before="1" w:after="1"/>
              <w:ind w:left="0" w:right="0" w:hanging="0"/>
              <w:jc w:val="right"/>
              <w:rPr/>
            </w:pPr>
            <w:r>
              <w:rPr/>
              <w:t>​</w:t>
            </w:r>
          </w:p>
        </w:tc>
      </w:tr>
      <w:tr>
        <w:trPr/>
        <w:tc>
          <w:tcPr>
            <w:tcW w:w="2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109" w:type="dxa"/>
            <w:tcBorders/>
            <w:vAlign w:val="center"/>
          </w:tcPr>
          <w:p>
            <w:pPr>
              <w:pStyle w:val="TableContents"/>
              <w:bidi w:val="0"/>
              <w:spacing w:before="1" w:after="1"/>
              <w:ind w:left="0" w:right="0" w:hanging="0"/>
              <w:jc w:val="right"/>
              <w:rPr/>
            </w:pPr>
            <w:r>
              <w:rPr/>
              <w:t>​</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68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40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Business Solutions</w:t>
            </w:r>
          </w:p>
        </w:tc>
        <w:tc>
          <w:tcPr>
            <w:tcW w:w="109" w:type="dxa"/>
            <w:tcBorders/>
            <w:shd w:fill="CCEEFF" w:val="clear"/>
            <w:vAlign w:val="center"/>
          </w:tcPr>
          <w:p>
            <w:pPr>
              <w:pStyle w:val="TableContents"/>
              <w:bidi w:val="0"/>
              <w:spacing w:before="1" w:after="1"/>
              <w:ind w:left="0" w:right="0" w:hanging="0"/>
              <w:jc w:val="left"/>
              <w:rPr/>
            </w:pPr>
            <w:r>
              <w:rPr/>
              <w:t>​</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682" w:type="dxa"/>
            <w:tcBorders/>
            <w:shd w:fill="CCEEFF" w:val="clear"/>
            <w:vAlign w:val="center"/>
          </w:tcPr>
          <w:p>
            <w:pPr>
              <w:pStyle w:val="TableContents"/>
              <w:bidi w:val="0"/>
              <w:spacing w:before="1" w:after="1"/>
              <w:ind w:left="0" w:right="0" w:hanging="0"/>
              <w:jc w:val="left"/>
              <w:rPr/>
            </w:pPr>
            <w:r>
              <w:rPr/>
              <w:t>​</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406" w:type="dxa"/>
            <w:tcBorders/>
            <w:shd w:fill="CCEEFF" w:val="clear"/>
            <w:vAlign w:val="center"/>
          </w:tcPr>
          <w:p>
            <w:pPr>
              <w:pStyle w:val="TableContents"/>
              <w:bidi w:val="0"/>
              <w:spacing w:before="1" w:after="1"/>
              <w:ind w:left="0" w:right="0" w:hanging="0"/>
              <w:jc w:val="left"/>
              <w:rPr/>
            </w:pPr>
            <w:r>
              <w:rPr/>
              <w:t>​</w:t>
            </w:r>
          </w:p>
        </w:tc>
      </w:tr>
      <w:tr>
        <w:trPr/>
        <w:tc>
          <w:tcPr>
            <w:tcW w:w="2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Public Sector Solutions</w:t>
            </w:r>
          </w:p>
        </w:tc>
        <w:tc>
          <w:tcPr>
            <w:tcW w:w="109" w:type="dxa"/>
            <w:tcBorders/>
            <w:vAlign w:val="center"/>
          </w:tcPr>
          <w:p>
            <w:pPr>
              <w:pStyle w:val="TableContents"/>
              <w:bidi w:val="0"/>
              <w:spacing w:before="1" w:after="1"/>
              <w:ind w:left="0" w:right="0" w:hanging="0"/>
              <w:jc w:val="right"/>
              <w:rPr/>
            </w:pPr>
            <w:r>
              <w:rPr/>
              <w:t>​</w:t>
            </w:r>
          </w:p>
        </w:tc>
        <w:tc>
          <w:tcPr>
            <w:tcW w:w="8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682" w:type="dxa"/>
            <w:tcBorders/>
            <w:vAlign w:val="center"/>
          </w:tcPr>
          <w:p>
            <w:pPr>
              <w:pStyle w:val="TableContents"/>
              <w:bidi w:val="0"/>
              <w:spacing w:before="1" w:after="1"/>
              <w:ind w:left="0" w:right="0" w:hanging="0"/>
              <w:jc w:val="right"/>
              <w:rPr/>
            </w:pPr>
            <w:r>
              <w:rPr/>
              <w:t> </w:t>
            </w:r>
          </w:p>
        </w:tc>
        <w:tc>
          <w:tcPr>
            <w:tcW w:w="8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406" w:type="dxa"/>
            <w:tcBorders/>
            <w:vAlign w:val="center"/>
          </w:tcPr>
          <w:p>
            <w:pPr>
              <w:pStyle w:val="TableContents"/>
              <w:bidi w:val="0"/>
              <w:spacing w:before="1" w:after="1"/>
              <w:ind w:left="0" w:right="0" w:hanging="0"/>
              <w:jc w:val="right"/>
              <w:rPr/>
            </w:pPr>
            <w:r>
              <w:rPr/>
              <w:t> </w:t>
            </w:r>
          </w:p>
        </w:tc>
      </w:tr>
      <w:tr>
        <w:trPr/>
        <w:tc>
          <w:tcPr>
            <w:tcW w:w="2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1" w:after="1"/>
              <w:ind w:left="0" w:right="0" w:hanging="0"/>
              <w:jc w:val="left"/>
              <w:rPr/>
            </w:pPr>
            <w:r>
              <w:rPr/>
              <w:t>​</w:t>
            </w:r>
          </w:p>
        </w:tc>
        <w:tc>
          <w:tcPr>
            <w:tcW w:w="8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68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1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881" w:type="dxa"/>
            <w:tcBorders/>
            <w:vAlign w:val="center"/>
          </w:tcPr>
          <w:p>
            <w:pPr>
              <w:pStyle w:val="TableContents"/>
              <w:bidi w:val="0"/>
              <w:spacing w:before="1" w:after="1"/>
              <w:ind w:left="0" w:right="0" w:hanging="0"/>
              <w:jc w:val="right"/>
              <w:rPr/>
            </w:pPr>
            <w:r>
              <w:rPr/>
              <w:t>​</w:t>
            </w:r>
          </w:p>
        </w:tc>
        <w:tc>
          <w:tcPr>
            <w:tcW w:w="682" w:type="dxa"/>
            <w:tcBorders/>
            <w:vAlign w:val="center"/>
          </w:tcPr>
          <w:p>
            <w:pPr>
              <w:pStyle w:val="TableContents"/>
              <w:bidi w:val="0"/>
              <w:spacing w:before="1" w:after="1"/>
              <w:ind w:left="0" w:right="0" w:hanging="0"/>
              <w:jc w:val="right"/>
              <w:rPr/>
            </w:pPr>
            <w:r>
              <w:rPr/>
              <w:t>​</w:t>
            </w:r>
          </w:p>
        </w:tc>
        <w:tc>
          <w:tcPr>
            <w:tcW w:w="881" w:type="dxa"/>
            <w:tcBorders/>
            <w:vAlign w:val="center"/>
          </w:tcPr>
          <w:p>
            <w:pPr>
              <w:pStyle w:val="TableContents"/>
              <w:bidi w:val="0"/>
              <w:spacing w:before="1" w:after="1"/>
              <w:ind w:left="0" w:right="0" w:hanging="0"/>
              <w:jc w:val="right"/>
              <w:rPr/>
            </w:pPr>
            <w:r>
              <w:rPr/>
              <w:t>​</w:t>
            </w:r>
          </w:p>
        </w:tc>
        <w:tc>
          <w:tcPr>
            <w:tcW w:w="406" w:type="dxa"/>
            <w:tcBorders/>
            <w:vAlign w:val="center"/>
          </w:tcPr>
          <w:p>
            <w:pPr>
              <w:pStyle w:val="TableContents"/>
              <w:bidi w:val="0"/>
              <w:spacing w:before="1" w:after="1"/>
              <w:ind w:left="0" w:right="0" w:hanging="0"/>
              <w:jc w:val="right"/>
              <w:rPr/>
            </w:pPr>
            <w:r>
              <w:rPr/>
              <w:t>​</w:t>
            </w:r>
          </w:p>
        </w:tc>
      </w:tr>
      <w:tr>
        <w:trPr/>
        <w:tc>
          <w:tcPr>
            <w:tcW w:w="2116"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Product Mix</w:t>
            </w:r>
          </w:p>
        </w:tc>
        <w:tc>
          <w:tcPr>
            <w:tcW w:w="109" w:type="dxa"/>
            <w:tcBorders/>
            <w:shd w:fill="CCEEFF" w:val="clear"/>
            <w:vAlign w:val="center"/>
          </w:tcPr>
          <w:p>
            <w:pPr>
              <w:pStyle w:val="TableContents"/>
              <w:bidi w:val="0"/>
              <w:spacing w:before="1" w:after="1"/>
              <w:ind w:left="0" w:right="0" w:hanging="0"/>
              <w:jc w:val="right"/>
              <w:rPr/>
            </w:pPr>
            <w:r>
              <w:rPr/>
              <w:t>​</w:t>
            </w:r>
          </w:p>
        </w:tc>
        <w:tc>
          <w:tcPr>
            <w:tcW w:w="881" w:type="dxa"/>
            <w:tcBorders/>
            <w:shd w:fill="CCEEFF" w:val="clear"/>
            <w:vAlign w:val="center"/>
          </w:tcPr>
          <w:p>
            <w:pPr>
              <w:pStyle w:val="TableContents"/>
              <w:bidi w:val="0"/>
              <w:spacing w:before="1" w:after="1"/>
              <w:ind w:left="0" w:right="0" w:hanging="0"/>
              <w:jc w:val="right"/>
              <w:rPr/>
            </w:pPr>
            <w:r>
              <w:rPr/>
              <w:t>​</w:t>
            </w:r>
          </w:p>
        </w:tc>
        <w:tc>
          <w:tcPr>
            <w:tcW w:w="682" w:type="dxa"/>
            <w:tcBorders/>
            <w:shd w:fill="CCEEFF" w:val="clear"/>
            <w:vAlign w:val="center"/>
          </w:tcPr>
          <w:p>
            <w:pPr>
              <w:pStyle w:val="TableContents"/>
              <w:bidi w:val="0"/>
              <w:spacing w:before="1" w:after="1"/>
              <w:ind w:left="0" w:right="0" w:hanging="0"/>
              <w:jc w:val="right"/>
              <w:rPr/>
            </w:pPr>
            <w:r>
              <w:rPr/>
              <w:t>​</w:t>
            </w:r>
          </w:p>
        </w:tc>
        <w:tc>
          <w:tcPr>
            <w:tcW w:w="881" w:type="dxa"/>
            <w:tcBorders/>
            <w:shd w:fill="CCEEFF" w:val="clear"/>
            <w:vAlign w:val="center"/>
          </w:tcPr>
          <w:p>
            <w:pPr>
              <w:pStyle w:val="TableContents"/>
              <w:bidi w:val="0"/>
              <w:spacing w:before="1" w:after="1"/>
              <w:ind w:left="0" w:right="0" w:hanging="0"/>
              <w:jc w:val="right"/>
              <w:rPr/>
            </w:pPr>
            <w:r>
              <w:rPr/>
              <w:t>​</w:t>
            </w:r>
          </w:p>
        </w:tc>
        <w:tc>
          <w:tcPr>
            <w:tcW w:w="406" w:type="dxa"/>
            <w:tcBorders/>
            <w:shd w:fill="CCEEFF" w:val="clear"/>
            <w:vAlign w:val="center"/>
          </w:tcPr>
          <w:p>
            <w:pPr>
              <w:pStyle w:val="TableContents"/>
              <w:bidi w:val="0"/>
              <w:spacing w:before="1" w:after="1"/>
              <w:ind w:left="0" w:right="0" w:hanging="0"/>
              <w:jc w:val="right"/>
              <w:rPr/>
            </w:pPr>
            <w:r>
              <w:rPr/>
              <w:t>​</w:t>
            </w:r>
          </w:p>
        </w:tc>
      </w:tr>
      <w:tr>
        <w:trPr/>
        <w:tc>
          <w:tcPr>
            <w:tcW w:w="2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Notebooks/Mobility</w:t>
            </w:r>
          </w:p>
        </w:tc>
        <w:tc>
          <w:tcPr>
            <w:tcW w:w="109" w:type="dxa"/>
            <w:tcBorders/>
            <w:vAlign w:val="center"/>
          </w:tcPr>
          <w:p>
            <w:pPr>
              <w:pStyle w:val="TableContents"/>
              <w:bidi w:val="0"/>
              <w:spacing w:before="1" w:after="1"/>
              <w:ind w:left="0" w:right="0" w:hanging="0"/>
              <w:jc w:val="right"/>
              <w:rPr/>
            </w:pPr>
            <w:r>
              <w:rPr/>
              <w:t>​</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68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40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Desktops</w:t>
            </w:r>
          </w:p>
        </w:tc>
        <w:tc>
          <w:tcPr>
            <w:tcW w:w="109" w:type="dxa"/>
            <w:tcBorders/>
            <w:shd w:fill="CCEEFF" w:val="clear"/>
            <w:vAlign w:val="center"/>
          </w:tcPr>
          <w:p>
            <w:pPr>
              <w:pStyle w:val="TableContents"/>
              <w:bidi w:val="0"/>
              <w:spacing w:before="1" w:after="1"/>
              <w:ind w:left="0" w:right="0" w:hanging="0"/>
              <w:jc w:val="left"/>
              <w:rPr/>
            </w:pPr>
            <w:r>
              <w:rPr/>
              <w:t>​</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682" w:type="dxa"/>
            <w:tcBorders/>
            <w:shd w:fill="CCEEFF" w:val="clear"/>
            <w:vAlign w:val="center"/>
          </w:tcPr>
          <w:p>
            <w:pPr>
              <w:pStyle w:val="TableContents"/>
              <w:bidi w:val="0"/>
              <w:spacing w:before="1" w:after="1"/>
              <w:ind w:left="0" w:right="0" w:hanging="0"/>
              <w:jc w:val="left"/>
              <w:rPr/>
            </w:pPr>
            <w:r>
              <w:rPr/>
              <w:t>​</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06" w:type="dxa"/>
            <w:tcBorders/>
            <w:shd w:fill="CCEEFF" w:val="clear"/>
            <w:vAlign w:val="center"/>
          </w:tcPr>
          <w:p>
            <w:pPr>
              <w:pStyle w:val="TableContents"/>
              <w:bidi w:val="0"/>
              <w:spacing w:before="1" w:after="1"/>
              <w:ind w:left="0" w:right="0" w:hanging="0"/>
              <w:jc w:val="left"/>
              <w:rPr/>
            </w:pPr>
            <w:r>
              <w:rPr/>
              <w:t>​</w:t>
            </w:r>
          </w:p>
        </w:tc>
      </w:tr>
      <w:tr>
        <w:trPr/>
        <w:tc>
          <w:tcPr>
            <w:tcW w:w="2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109" w:type="dxa"/>
            <w:tcBorders/>
            <w:vAlign w:val="center"/>
          </w:tcPr>
          <w:p>
            <w:pPr>
              <w:pStyle w:val="TableContents"/>
              <w:bidi w:val="0"/>
              <w:spacing w:before="1" w:after="1"/>
              <w:ind w:left="0" w:right="0" w:hanging="0"/>
              <w:jc w:val="left"/>
              <w:rPr/>
            </w:pPr>
            <w:r>
              <w:rPr/>
              <w:t>​</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682" w:type="dxa"/>
            <w:tcBorders/>
            <w:vAlign w:val="center"/>
          </w:tcPr>
          <w:p>
            <w:pPr>
              <w:pStyle w:val="TableContents"/>
              <w:bidi w:val="0"/>
              <w:spacing w:before="1" w:after="1"/>
              <w:ind w:left="0" w:right="0" w:hanging="0"/>
              <w:jc w:val="left"/>
              <w:rPr/>
            </w:pPr>
            <w:r>
              <w:rPr/>
              <w:t>​</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06" w:type="dxa"/>
            <w:tcBorders/>
            <w:vAlign w:val="center"/>
          </w:tcPr>
          <w:p>
            <w:pPr>
              <w:pStyle w:val="TableContents"/>
              <w:bidi w:val="0"/>
              <w:spacing w:before="1" w:after="1"/>
              <w:ind w:left="0" w:right="0" w:hanging="0"/>
              <w:jc w:val="left"/>
              <w:rPr/>
            </w:pPr>
            <w:r>
              <w:rPr/>
              <w:t>​</w:t>
            </w:r>
          </w:p>
        </w:tc>
      </w:tr>
      <w:tr>
        <w:trPr/>
        <w:tc>
          <w:tcPr>
            <w:tcW w:w="2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Servers/Storage</w:t>
            </w:r>
          </w:p>
        </w:tc>
        <w:tc>
          <w:tcPr>
            <w:tcW w:w="109" w:type="dxa"/>
            <w:tcBorders/>
            <w:shd w:fill="CCEEFF" w:val="clear"/>
            <w:vAlign w:val="center"/>
          </w:tcPr>
          <w:p>
            <w:pPr>
              <w:pStyle w:val="TableContents"/>
              <w:bidi w:val="0"/>
              <w:spacing w:before="1" w:after="1"/>
              <w:ind w:left="0" w:right="0" w:hanging="0"/>
              <w:jc w:val="right"/>
              <w:rPr/>
            </w:pPr>
            <w:r>
              <w:rPr/>
              <w:t>​</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682" w:type="dxa"/>
            <w:tcBorders/>
            <w:shd w:fill="CCEEFF" w:val="clear"/>
            <w:vAlign w:val="center"/>
          </w:tcPr>
          <w:p>
            <w:pPr>
              <w:pStyle w:val="TableContents"/>
              <w:bidi w:val="0"/>
              <w:spacing w:before="1" w:after="1"/>
              <w:ind w:left="0" w:right="0" w:hanging="0"/>
              <w:jc w:val="right"/>
              <w:rPr/>
            </w:pPr>
            <w:r>
              <w:rPr/>
              <w:t>​</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shd w:fill="CCEEFF" w:val="clear"/>
            <w:vAlign w:val="center"/>
          </w:tcPr>
          <w:p>
            <w:pPr>
              <w:pStyle w:val="TableContents"/>
              <w:bidi w:val="0"/>
              <w:spacing w:before="1" w:after="1"/>
              <w:ind w:left="0" w:right="0" w:hanging="0"/>
              <w:jc w:val="right"/>
              <w:rPr/>
            </w:pPr>
            <w:r>
              <w:rPr/>
              <w:t> </w:t>
            </w:r>
          </w:p>
        </w:tc>
      </w:tr>
      <w:tr>
        <w:trPr/>
        <w:tc>
          <w:tcPr>
            <w:tcW w:w="2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Net/Com Products</w:t>
            </w:r>
          </w:p>
        </w:tc>
        <w:tc>
          <w:tcPr>
            <w:tcW w:w="109" w:type="dxa"/>
            <w:tcBorders/>
            <w:vAlign w:val="center"/>
          </w:tcPr>
          <w:p>
            <w:pPr>
              <w:pStyle w:val="TableContents"/>
              <w:bidi w:val="0"/>
              <w:spacing w:before="1" w:after="1"/>
              <w:ind w:left="0" w:right="0" w:hanging="0"/>
              <w:jc w:val="right"/>
              <w:rPr/>
            </w:pPr>
            <w:r>
              <w:rPr/>
              <w:t>​</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682" w:type="dxa"/>
            <w:tcBorders/>
            <w:vAlign w:val="center"/>
          </w:tcPr>
          <w:p>
            <w:pPr>
              <w:pStyle w:val="TableContents"/>
              <w:bidi w:val="0"/>
              <w:spacing w:before="1" w:after="1"/>
              <w:ind w:left="0" w:right="0" w:hanging="0"/>
              <w:jc w:val="right"/>
              <w:rPr/>
            </w:pPr>
            <w:r>
              <w:rPr/>
              <w:t> </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vAlign w:val="center"/>
          </w:tcPr>
          <w:p>
            <w:pPr>
              <w:pStyle w:val="TableContents"/>
              <w:bidi w:val="0"/>
              <w:spacing w:before="1" w:after="1"/>
              <w:ind w:left="0" w:right="0" w:hanging="0"/>
              <w:jc w:val="right"/>
              <w:rPr/>
            </w:pPr>
            <w:r>
              <w:rPr/>
              <w:t> </w:t>
            </w:r>
          </w:p>
        </w:tc>
      </w:tr>
      <w:tr>
        <w:trPr/>
        <w:tc>
          <w:tcPr>
            <w:tcW w:w="2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Displays and Sound</w:t>
            </w:r>
          </w:p>
        </w:tc>
        <w:tc>
          <w:tcPr>
            <w:tcW w:w="109" w:type="dxa"/>
            <w:tcBorders/>
            <w:shd w:fill="CCEEFF" w:val="clear"/>
            <w:vAlign w:val="center"/>
          </w:tcPr>
          <w:p>
            <w:pPr>
              <w:pStyle w:val="TableContents"/>
              <w:bidi w:val="0"/>
              <w:spacing w:before="1" w:after="1"/>
              <w:ind w:left="0" w:right="0" w:hanging="0"/>
              <w:jc w:val="right"/>
              <w:rPr/>
            </w:pPr>
            <w:r>
              <w:rPr/>
              <w:t>​</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682" w:type="dxa"/>
            <w:tcBorders/>
            <w:shd w:fill="CCEEFF" w:val="clear"/>
            <w:vAlign w:val="center"/>
          </w:tcPr>
          <w:p>
            <w:pPr>
              <w:pStyle w:val="TableContents"/>
              <w:bidi w:val="0"/>
              <w:spacing w:before="1" w:after="1"/>
              <w:ind w:left="0" w:right="0" w:hanging="0"/>
              <w:jc w:val="right"/>
              <w:rPr/>
            </w:pPr>
            <w:r>
              <w:rPr/>
              <w:t>​</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shd w:fill="CCEEFF" w:val="clear"/>
            <w:vAlign w:val="center"/>
          </w:tcPr>
          <w:p>
            <w:pPr>
              <w:pStyle w:val="TableContents"/>
              <w:bidi w:val="0"/>
              <w:spacing w:before="1" w:after="1"/>
              <w:ind w:left="0" w:right="0" w:hanging="0"/>
              <w:jc w:val="right"/>
              <w:rPr/>
            </w:pPr>
            <w:r>
              <w:rPr/>
              <w:t> </w:t>
            </w:r>
          </w:p>
        </w:tc>
      </w:tr>
      <w:tr>
        <w:trPr/>
        <w:tc>
          <w:tcPr>
            <w:tcW w:w="2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Accessories</w:t>
            </w:r>
          </w:p>
        </w:tc>
        <w:tc>
          <w:tcPr>
            <w:tcW w:w="109" w:type="dxa"/>
            <w:tcBorders/>
            <w:vAlign w:val="center"/>
          </w:tcPr>
          <w:p>
            <w:pPr>
              <w:pStyle w:val="TableContents"/>
              <w:bidi w:val="0"/>
              <w:spacing w:before="1" w:after="1"/>
              <w:ind w:left="0" w:right="0" w:hanging="0"/>
              <w:jc w:val="left"/>
              <w:rPr/>
            </w:pPr>
            <w:r>
              <w:rPr/>
              <w:t>​</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682" w:type="dxa"/>
            <w:tcBorders/>
            <w:vAlign w:val="center"/>
          </w:tcPr>
          <w:p>
            <w:pPr>
              <w:pStyle w:val="TableContents"/>
              <w:bidi w:val="0"/>
              <w:spacing w:before="1" w:after="1"/>
              <w:ind w:left="0" w:right="0" w:hanging="0"/>
              <w:jc w:val="left"/>
              <w:rPr/>
            </w:pPr>
            <w:r>
              <w:rPr/>
              <w:t>​</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06" w:type="dxa"/>
            <w:tcBorders/>
            <w:vAlign w:val="center"/>
          </w:tcPr>
          <w:p>
            <w:pPr>
              <w:pStyle w:val="TableContents"/>
              <w:bidi w:val="0"/>
              <w:spacing w:before="1" w:after="1"/>
              <w:ind w:left="0" w:right="0" w:hanging="0"/>
              <w:jc w:val="left"/>
              <w:rPr/>
            </w:pPr>
            <w:r>
              <w:rPr/>
              <w:t>​</w:t>
            </w:r>
          </w:p>
        </w:tc>
      </w:tr>
      <w:tr>
        <w:trPr/>
        <w:tc>
          <w:tcPr>
            <w:tcW w:w="2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Hardware/Services</w:t>
            </w:r>
          </w:p>
        </w:tc>
        <w:tc>
          <w:tcPr>
            <w:tcW w:w="109" w:type="dxa"/>
            <w:tcBorders/>
            <w:shd w:fill="CCEEFF" w:val="clear"/>
            <w:vAlign w:val="center"/>
          </w:tcPr>
          <w:p>
            <w:pPr>
              <w:pStyle w:val="TableContents"/>
              <w:bidi w:val="0"/>
              <w:spacing w:before="1" w:after="1"/>
              <w:ind w:left="0" w:right="0" w:hanging="0"/>
              <w:jc w:val="righ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682" w:type="dxa"/>
            <w:tcBorders/>
            <w:shd w:fill="CCEEFF" w:val="clear"/>
            <w:vAlign w:val="center"/>
          </w:tcPr>
          <w:p>
            <w:pPr>
              <w:pStyle w:val="TableContents"/>
              <w:bidi w:val="0"/>
              <w:spacing w:before="1" w:after="1"/>
              <w:ind w:left="0" w:right="0" w:hanging="0"/>
              <w:jc w:val="righ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shd w:fill="CCEEFF" w:val="clear"/>
            <w:vAlign w:val="center"/>
          </w:tcPr>
          <w:p>
            <w:pPr>
              <w:pStyle w:val="TableContents"/>
              <w:bidi w:val="0"/>
              <w:spacing w:before="1" w:after="1"/>
              <w:ind w:left="0" w:right="0" w:hanging="0"/>
              <w:jc w:val="right"/>
              <w:rPr/>
            </w:pPr>
            <w:r>
              <w:rPr/>
              <w:t> </w:t>
            </w:r>
          </w:p>
        </w:tc>
      </w:tr>
      <w:tr>
        <w:trPr/>
        <w:tc>
          <w:tcPr>
            <w:tcW w:w="2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1" w:after="1"/>
              <w:ind w:left="0" w:right="0" w:hanging="0"/>
              <w:jc w:val="left"/>
              <w:rPr/>
            </w:pPr>
            <w:r>
              <w:rPr/>
              <w:t>​</w:t>
            </w:r>
          </w:p>
        </w:tc>
        <w:tc>
          <w:tcPr>
            <w:tcW w:w="8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68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Profit Margin</w:t>
      </w:r>
    </w:p>
    <w:p>
      <w:pPr>
        <w:pStyle w:val="TextBody"/>
        <w:bidi w:val="0"/>
        <w:spacing w:before="100" w:after="10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gross margin, as a percentage of net sales, for the periods indicated:</w:t>
      </w:r>
    </w:p>
    <w:p>
      <w:pPr>
        <w:pStyle w:val="TextBody"/>
        <w:bidi w:val="0"/>
        <w:spacing w:before="0" w:after="0"/>
        <w:ind w:left="0" w:right="0" w:hanging="0"/>
        <w:jc w:val="both"/>
        <w:rPr/>
      </w:pPr>
      <w:r>
        <w:rPr/>
        <w:t>​</w:t>
      </w:r>
    </w:p>
    <w:tbl>
      <w:tblPr>
        <w:tblW w:w="4985" w:type="dxa"/>
        <w:jc w:val="left"/>
        <w:tblInd w:w="0" w:type="dxa"/>
        <w:tblLayout w:type="fixed"/>
        <w:tblCellMar>
          <w:top w:w="0" w:type="dxa"/>
          <w:left w:w="0" w:type="dxa"/>
          <w:bottom w:w="0" w:type="dxa"/>
          <w:right w:w="0" w:type="dxa"/>
        </w:tblCellMar>
      </w:tblPr>
      <w:tblGrid>
        <w:gridCol w:w="2026"/>
        <w:gridCol w:w="109"/>
        <w:gridCol w:w="881"/>
        <w:gridCol w:w="682"/>
        <w:gridCol w:w="881"/>
        <w:gridCol w:w="40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286510" cy="175895"/>
                      <wp:effectExtent l="0" t="0" r="0" b="0"/>
                      <wp:wrapNone/>
                      <wp:docPr id="183" name="Frame183"/>
                      <a:graphic xmlns:a="http://schemas.openxmlformats.org/drawingml/2006/main">
                        <a:graphicData uri="http://schemas.microsoft.com/office/word/2010/wordprocessingShape">
                          <wps:wsp>
                            <wps:cNvSpPr txBox="1"/>
                            <wps:spPr>
                              <a:xfrm>
                                <a:off x="0" y="0"/>
                                <a:ext cx="1286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895"/>
                      <wp:effectExtent l="0" t="0" r="0" b="0"/>
                      <wp:wrapNone/>
                      <wp:docPr id="184" name="Frame18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59435" cy="175895"/>
                      <wp:effectExtent l="0" t="0" r="0" b="0"/>
                      <wp:wrapNone/>
                      <wp:docPr id="185" name="Frame185"/>
                      <a:graphic xmlns:a="http://schemas.openxmlformats.org/drawingml/2006/main">
                        <a:graphicData uri="http://schemas.microsoft.com/office/word/2010/wordprocessingShape">
                          <wps:wsp>
                            <wps:cNvSpPr txBox="1"/>
                            <wps:spPr>
                              <a:xfrm>
                                <a:off x="0" y="0"/>
                                <a:ext cx="559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3070" cy="175895"/>
                      <wp:effectExtent l="0" t="0" r="0" b="0"/>
                      <wp:wrapNone/>
                      <wp:docPr id="186" name="Frame186"/>
                      <a:graphic xmlns:a="http://schemas.openxmlformats.org/drawingml/2006/main">
                        <a:graphicData uri="http://schemas.microsoft.com/office/word/2010/wordprocessingShape">
                          <wps:wsp>
                            <wps:cNvSpPr txBox="1"/>
                            <wps:spPr>
                              <a:xfrm>
                                <a:off x="0" y="0"/>
                                <a:ext cx="4330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59435" cy="175895"/>
                      <wp:effectExtent l="0" t="0" r="0" b="0"/>
                      <wp:wrapNone/>
                      <wp:docPr id="187" name="Frame187"/>
                      <a:graphic xmlns:a="http://schemas.openxmlformats.org/drawingml/2006/main">
                        <a:graphicData uri="http://schemas.microsoft.com/office/word/2010/wordprocessingShape">
                          <wps:wsp>
                            <wps:cNvSpPr txBox="1"/>
                            <wps:spPr>
                              <a:xfrm>
                                <a:off x="0" y="0"/>
                                <a:ext cx="559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57810" cy="175895"/>
                      <wp:effectExtent l="0" t="0" r="0" b="0"/>
                      <wp:wrapNone/>
                      <wp:docPr id="188" name="Frame188"/>
                      <a:graphic xmlns:a="http://schemas.openxmlformats.org/drawingml/2006/main">
                        <a:graphicData uri="http://schemas.microsoft.com/office/word/2010/wordprocessingShape">
                          <wps:wsp>
                            <wps:cNvSpPr txBox="1"/>
                            <wps:spPr>
                              <a:xfrm>
                                <a:off x="0" y="0"/>
                                <a:ext cx="2578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444" w:type="dxa"/>
            <w:gridSpan w:val="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406" w:type="dxa"/>
            <w:tcBorders/>
            <w:vAlign w:val="center"/>
          </w:tcPr>
          <w:p>
            <w:pPr>
              <w:pStyle w:val="TableContents"/>
              <w:bidi w:val="0"/>
              <w:spacing w:before="1" w:after="1"/>
              <w:ind w:left="0" w:right="0" w:hanging="0"/>
              <w:jc w:val="left"/>
              <w:rPr/>
            </w:pPr>
            <w:r>
              <w:rPr/>
              <w:t>​</w:t>
            </w:r>
          </w:p>
        </w:tc>
      </w:tr>
      <w:tr>
        <w:trPr/>
        <w:tc>
          <w:tcPr>
            <w:tcW w:w="202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88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82" w:type="dxa"/>
            <w:tcBorders/>
            <w:vAlign w:val="center"/>
          </w:tcPr>
          <w:p>
            <w:pPr>
              <w:pStyle w:val="TableContents"/>
              <w:bidi w:val="0"/>
              <w:spacing w:before="1" w:after="1"/>
              <w:ind w:left="0" w:right="0" w:hanging="0"/>
              <w:jc w:val="center"/>
              <w:rPr/>
            </w:pPr>
            <w:r>
              <w:rPr/>
              <w:t>  ​ ​ ​</w:t>
            </w:r>
          </w:p>
        </w:tc>
        <w:tc>
          <w:tcPr>
            <w:tcW w:w="88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1" w:after="1"/>
              <w:ind w:left="0" w:right="0" w:hanging="0"/>
              <w:jc w:val="center"/>
              <w:rPr/>
            </w:pPr>
            <w:r>
              <w:rPr/>
              <w:t>​</w:t>
            </w:r>
          </w:p>
        </w:tc>
      </w:tr>
      <w:tr>
        <w:trPr/>
        <w:tc>
          <w:tcPr>
            <w:tcW w:w="2026" w:type="dxa"/>
            <w:tcBorders/>
            <w:shd w:fill="CCEEFF" w:val="clear"/>
            <w:vAlign w:val="center"/>
          </w:tcPr>
          <w:p>
            <w:pPr>
              <w:pStyle w:val="TableContents"/>
              <w:bidi w:val="0"/>
              <w:spacing w:before="1" w:after="1"/>
              <w:ind w:left="0" w:right="0" w:hanging="0"/>
              <w:jc w:val="both"/>
              <w:rPr>
                <w:rFonts w:ascii="Times New Roman;Times;serif" w:hAnsi="Times New Roman;Times;serif"/>
                <w:b/>
                <w:sz w:val="20"/>
              </w:rPr>
            </w:pPr>
            <w:r>
              <w:rPr>
                <w:rFonts w:ascii="Times New Roman;Times;serif" w:hAnsi="Times New Roman;Times;serif"/>
                <w:b/>
                <w:sz w:val="20"/>
              </w:rPr>
              <w:t>Operating Segment</w:t>
            </w:r>
          </w:p>
        </w:tc>
        <w:tc>
          <w:tcPr>
            <w:tcW w:w="109" w:type="dxa"/>
            <w:tcBorders/>
            <w:shd w:fill="CCEEFF" w:val="clear"/>
            <w:vAlign w:val="center"/>
          </w:tcPr>
          <w:p>
            <w:pPr>
              <w:pStyle w:val="TableContents"/>
              <w:bidi w:val="0"/>
              <w:spacing w:before="1" w:after="1"/>
              <w:ind w:left="0" w:right="0" w:hanging="0"/>
              <w:jc w:val="right"/>
              <w:rPr/>
            </w:pPr>
            <w:r>
              <w:rPr/>
              <w:t>​</w:t>
            </w:r>
          </w:p>
        </w:tc>
        <w:tc>
          <w:tcPr>
            <w:tcW w:w="881" w:type="dxa"/>
            <w:tcBorders/>
            <w:shd w:fill="CCEEFF" w:val="clear"/>
            <w:vAlign w:val="center"/>
          </w:tcPr>
          <w:p>
            <w:pPr>
              <w:pStyle w:val="TableContents"/>
              <w:bidi w:val="0"/>
              <w:spacing w:before="1" w:after="1"/>
              <w:ind w:left="0" w:right="0" w:hanging="0"/>
              <w:jc w:val="right"/>
              <w:rPr/>
            </w:pPr>
            <w:r>
              <w:rPr/>
              <w:t>​</w:t>
            </w:r>
          </w:p>
        </w:tc>
        <w:tc>
          <w:tcPr>
            <w:tcW w:w="682" w:type="dxa"/>
            <w:tcBorders/>
            <w:shd w:fill="CCEEFF" w:val="clear"/>
            <w:vAlign w:val="center"/>
          </w:tcPr>
          <w:p>
            <w:pPr>
              <w:pStyle w:val="TableContents"/>
              <w:bidi w:val="0"/>
              <w:spacing w:before="1" w:after="1"/>
              <w:ind w:left="0" w:right="0" w:hanging="0"/>
              <w:jc w:val="right"/>
              <w:rPr/>
            </w:pPr>
            <w:r>
              <w:rPr/>
              <w:t>​</w:t>
            </w:r>
          </w:p>
        </w:tc>
        <w:tc>
          <w:tcPr>
            <w:tcW w:w="881" w:type="dxa"/>
            <w:tcBorders/>
            <w:shd w:fill="CCEEFF" w:val="clear"/>
            <w:vAlign w:val="center"/>
          </w:tcPr>
          <w:p>
            <w:pPr>
              <w:pStyle w:val="TableContents"/>
              <w:bidi w:val="0"/>
              <w:spacing w:before="1" w:after="1"/>
              <w:ind w:left="0" w:right="0" w:hanging="0"/>
              <w:jc w:val="right"/>
              <w:rPr/>
            </w:pPr>
            <w:r>
              <w:rPr/>
              <w:t>​</w:t>
            </w:r>
          </w:p>
        </w:tc>
        <w:tc>
          <w:tcPr>
            <w:tcW w:w="406" w:type="dxa"/>
            <w:tcBorders/>
            <w:shd w:fill="CCEEFF" w:val="clear"/>
            <w:vAlign w:val="center"/>
          </w:tcPr>
          <w:p>
            <w:pPr>
              <w:pStyle w:val="TableContents"/>
              <w:bidi w:val="0"/>
              <w:spacing w:before="1" w:after="1"/>
              <w:ind w:left="0" w:right="0" w:hanging="0"/>
              <w:jc w:val="right"/>
              <w:rPr/>
            </w:pPr>
            <w:r>
              <w:rPr/>
              <w:t>​</w:t>
            </w:r>
          </w:p>
        </w:tc>
      </w:tr>
      <w:tr>
        <w:trPr/>
        <w:tc>
          <w:tcPr>
            <w:tcW w:w="2026" w:type="dxa"/>
            <w:tcBorders/>
            <w:vAlign w:val="center"/>
          </w:tcPr>
          <w:p>
            <w:pPr>
              <w:pStyle w:val="TableContents"/>
              <w:bidi w:val="0"/>
              <w:spacing w:before="1" w:after="1"/>
              <w:ind w:left="0" w:right="0" w:hanging="0"/>
              <w:jc w:val="both"/>
              <w:rPr>
                <w:rFonts w:ascii="Times New Roman;Times;serif" w:hAnsi="Times New Roman;Times;serif"/>
                <w:sz w:val="20"/>
              </w:rPr>
            </w:pPr>
            <w:r>
              <w:rPr>
                <w:rFonts w:ascii="Times New Roman;Times;serif" w:hAnsi="Times New Roman;Times;serif"/>
                <w:sz w:val="20"/>
              </w:rPr>
              <w:t>Enterprise Solutions</w:t>
            </w:r>
          </w:p>
        </w:tc>
        <w:tc>
          <w:tcPr>
            <w:tcW w:w="109" w:type="dxa"/>
            <w:tcBorders/>
            <w:vAlign w:val="center"/>
          </w:tcPr>
          <w:p>
            <w:pPr>
              <w:pStyle w:val="TableContents"/>
              <w:bidi w:val="0"/>
              <w:spacing w:before="1" w:after="1"/>
              <w:ind w:left="0" w:right="0" w:hanging="0"/>
              <w:jc w:val="right"/>
              <w:rPr/>
            </w:pPr>
            <w:r>
              <w:rPr/>
              <w:t>​</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68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40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6" w:type="dxa"/>
            <w:tcBorders/>
            <w:shd w:fill="CCEEFF" w:val="clear"/>
            <w:vAlign w:val="center"/>
          </w:tcPr>
          <w:p>
            <w:pPr>
              <w:pStyle w:val="TableContents"/>
              <w:bidi w:val="0"/>
              <w:spacing w:before="1" w:after="1"/>
              <w:ind w:left="0" w:right="0" w:hanging="0"/>
              <w:jc w:val="both"/>
              <w:rPr>
                <w:rFonts w:ascii="Times New Roman;Times;serif" w:hAnsi="Times New Roman;Times;serif"/>
                <w:sz w:val="20"/>
              </w:rPr>
            </w:pPr>
            <w:r>
              <w:rPr>
                <w:rFonts w:ascii="Times New Roman;Times;serif" w:hAnsi="Times New Roman;Times;serif"/>
                <w:sz w:val="20"/>
              </w:rPr>
              <w:t>Business Solutions</w:t>
            </w:r>
          </w:p>
        </w:tc>
        <w:tc>
          <w:tcPr>
            <w:tcW w:w="109" w:type="dxa"/>
            <w:tcBorders/>
            <w:shd w:fill="CCEEFF" w:val="clear"/>
            <w:vAlign w:val="center"/>
          </w:tcPr>
          <w:p>
            <w:pPr>
              <w:pStyle w:val="TableContents"/>
              <w:bidi w:val="0"/>
              <w:spacing w:before="1" w:after="1"/>
              <w:ind w:left="0" w:right="0" w:hanging="0"/>
              <w:jc w:val="left"/>
              <w:rPr/>
            </w:pPr>
            <w:r>
              <w:rPr/>
              <w:t>​</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682" w:type="dxa"/>
            <w:tcBorders/>
            <w:shd w:fill="CCEEFF" w:val="clear"/>
            <w:vAlign w:val="center"/>
          </w:tcPr>
          <w:p>
            <w:pPr>
              <w:pStyle w:val="TableContents"/>
              <w:bidi w:val="0"/>
              <w:spacing w:before="1" w:after="1"/>
              <w:ind w:left="0" w:right="0" w:hanging="0"/>
              <w:jc w:val="left"/>
              <w:rPr/>
            </w:pPr>
            <w:r>
              <w:rPr/>
              <w:t>​</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406" w:type="dxa"/>
            <w:tcBorders/>
            <w:shd w:fill="CCEEFF" w:val="clear"/>
            <w:vAlign w:val="center"/>
          </w:tcPr>
          <w:p>
            <w:pPr>
              <w:pStyle w:val="TableContents"/>
              <w:bidi w:val="0"/>
              <w:spacing w:before="1" w:after="1"/>
              <w:ind w:left="0" w:right="0" w:hanging="0"/>
              <w:jc w:val="left"/>
              <w:rPr/>
            </w:pPr>
            <w:r>
              <w:rPr/>
              <w:t>​</w:t>
            </w:r>
          </w:p>
        </w:tc>
      </w:tr>
      <w:tr>
        <w:trPr/>
        <w:tc>
          <w:tcPr>
            <w:tcW w:w="2026" w:type="dxa"/>
            <w:tcBorders/>
            <w:vAlign w:val="center"/>
          </w:tcPr>
          <w:p>
            <w:pPr>
              <w:pStyle w:val="TableContents"/>
              <w:bidi w:val="0"/>
              <w:spacing w:before="1" w:after="1"/>
              <w:ind w:left="0" w:right="0" w:hanging="0"/>
              <w:jc w:val="both"/>
              <w:rPr>
                <w:rFonts w:ascii="Times New Roman;Times;serif" w:hAnsi="Times New Roman;Times;serif"/>
                <w:sz w:val="20"/>
              </w:rPr>
            </w:pPr>
            <w:r>
              <w:rPr>
                <w:rFonts w:ascii="Times New Roman;Times;serif" w:hAnsi="Times New Roman;Times;serif"/>
                <w:sz w:val="20"/>
              </w:rPr>
              <w:t>Public Sector Solutions</w:t>
            </w:r>
          </w:p>
        </w:tc>
        <w:tc>
          <w:tcPr>
            <w:tcW w:w="109" w:type="dxa"/>
            <w:tcBorders/>
            <w:vAlign w:val="center"/>
          </w:tcPr>
          <w:p>
            <w:pPr>
              <w:pStyle w:val="TableContents"/>
              <w:bidi w:val="0"/>
              <w:spacing w:before="1" w:after="1"/>
              <w:ind w:left="0" w:right="0" w:hanging="0"/>
              <w:jc w:val="right"/>
              <w:rPr/>
            </w:pPr>
            <w:r>
              <w:rPr/>
              <w:t>​</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682" w:type="dxa"/>
            <w:tcBorders/>
            <w:vAlign w:val="center"/>
          </w:tcPr>
          <w:p>
            <w:pPr>
              <w:pStyle w:val="TableContents"/>
              <w:bidi w:val="0"/>
              <w:spacing w:before="1" w:after="1"/>
              <w:ind w:left="0" w:right="0" w:hanging="0"/>
              <w:jc w:val="right"/>
              <w:rPr/>
            </w:pPr>
            <w:r>
              <w:rPr/>
              <w:t> </w:t>
            </w:r>
          </w:p>
        </w:tc>
        <w:tc>
          <w:tcPr>
            <w:tcW w:w="8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406" w:type="dxa"/>
            <w:tcBorders/>
            <w:vAlign w:val="center"/>
          </w:tcPr>
          <w:p>
            <w:pPr>
              <w:pStyle w:val="TableContents"/>
              <w:bidi w:val="0"/>
              <w:spacing w:before="1" w:after="1"/>
              <w:ind w:left="0" w:right="0" w:hanging="0"/>
              <w:jc w:val="right"/>
              <w:rPr/>
            </w:pPr>
            <w:r>
              <w:rPr/>
              <w:t> </w:t>
            </w:r>
          </w:p>
        </w:tc>
      </w:tr>
      <w:tr>
        <w:trPr/>
        <w:tc>
          <w:tcPr>
            <w:tcW w:w="2026" w:type="dxa"/>
            <w:tcBorders/>
            <w:shd w:fill="CCEEFF" w:val="clear"/>
            <w:vAlign w:val="center"/>
          </w:tcPr>
          <w:p>
            <w:pPr>
              <w:pStyle w:val="TableContents"/>
              <w:bidi w:val="0"/>
              <w:spacing w:before="1" w:after="1"/>
              <w:ind w:left="0" w:right="0" w:hanging="0"/>
              <w:jc w:val="both"/>
              <w:rPr>
                <w:rFonts w:ascii="Times New Roman;Times;serif" w:hAnsi="Times New Roman;Times;serif"/>
                <w:sz w:val="20"/>
              </w:rPr>
            </w:pPr>
            <w:r>
              <w:rPr>
                <w:rFonts w:ascii="Times New Roman;Times;serif" w:hAnsi="Times New Roman;Times;serif"/>
                <w:sz w:val="20"/>
              </w:rPr>
              <w:t>Total Company</w:t>
            </w:r>
          </w:p>
        </w:tc>
        <w:tc>
          <w:tcPr>
            <w:tcW w:w="109" w:type="dxa"/>
            <w:tcBorders/>
            <w:shd w:fill="CCEEFF" w:val="clear"/>
            <w:vAlign w:val="center"/>
          </w:tcPr>
          <w:p>
            <w:pPr>
              <w:pStyle w:val="TableContents"/>
              <w:bidi w:val="0"/>
              <w:spacing w:before="1" w:after="1"/>
              <w:ind w:left="0" w:right="0" w:hanging="0"/>
              <w:jc w:val="left"/>
              <w:rPr/>
            </w:pPr>
            <w:r>
              <w:rPr/>
              <w:t>​</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68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40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bookmarkStart w:id="947" w:name="OperatingExpenses"/>
      <w:bookmarkEnd w:id="947"/>
      <w:r>
        <w:rPr>
          <w:rFonts w:ascii="Times New Roman;Times;serif" w:hAnsi="Times New Roman;Times;serif"/>
          <w:b/>
          <w:i/>
          <w:sz w:val="20"/>
        </w:rPr>
        <w:t>Operating Expenses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reflects our SG&amp;A expenses for the periods indicated (dollars in millions):</w:t>
      </w:r>
    </w:p>
    <w:p>
      <w:pPr>
        <w:pStyle w:val="TextBody"/>
        <w:bidi w:val="0"/>
        <w:spacing w:before="0" w:after="0"/>
        <w:ind w:left="0" w:right="0" w:hanging="0"/>
        <w:jc w:val="left"/>
        <w:rPr/>
      </w:pPr>
      <w:r>
        <w:rPr/>
        <w:t>​</w:t>
      </w:r>
    </w:p>
    <w:tbl>
      <w:tblPr>
        <w:tblW w:w="5600" w:type="dxa"/>
        <w:jc w:val="left"/>
        <w:tblInd w:w="0" w:type="dxa"/>
        <w:tblLayout w:type="fixed"/>
        <w:tblCellMar>
          <w:top w:w="0" w:type="dxa"/>
          <w:left w:w="0" w:type="dxa"/>
          <w:bottom w:w="0" w:type="dxa"/>
          <w:right w:w="0" w:type="dxa"/>
        </w:tblCellMar>
      </w:tblPr>
      <w:tblGrid>
        <w:gridCol w:w="2641"/>
        <w:gridCol w:w="109"/>
        <w:gridCol w:w="268"/>
        <w:gridCol w:w="725"/>
        <w:gridCol w:w="458"/>
        <w:gridCol w:w="268"/>
        <w:gridCol w:w="725"/>
        <w:gridCol w:w="40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77035" cy="175260"/>
                      <wp:effectExtent l="0" t="0" r="0" b="0"/>
                      <wp:wrapNone/>
                      <wp:docPr id="189" name="Frame189"/>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70180" cy="175260"/>
                      <wp:effectExtent l="0" t="0" r="0" b="0"/>
                      <wp:wrapNone/>
                      <wp:docPr id="191" name="Frame19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60375" cy="175260"/>
                      <wp:effectExtent l="0" t="0" r="0" b="0"/>
                      <wp:wrapNone/>
                      <wp:docPr id="192" name="Frame192"/>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90830" cy="175260"/>
                      <wp:effectExtent l="0" t="0" r="0" b="0"/>
                      <wp:wrapNone/>
                      <wp:docPr id="193" name="Frame193"/>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0180" cy="175260"/>
                      <wp:effectExtent l="0" t="0" r="0" b="0"/>
                      <wp:wrapNone/>
                      <wp:docPr id="194" name="Frame19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60375" cy="175260"/>
                      <wp:effectExtent l="0" t="0" r="0" b="0"/>
                      <wp:wrapNone/>
                      <wp:docPr id="195" name="Frame195"/>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57810" cy="175260"/>
                      <wp:effectExtent l="0" t="0" r="0" b="0"/>
                      <wp:wrapNone/>
                      <wp:docPr id="196" name="Frame19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406" w:type="dxa"/>
            <w:tcBorders/>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8" w:type="dxa"/>
            <w:tcBorders/>
            <w:vAlign w:val="center"/>
          </w:tcPr>
          <w:p>
            <w:pPr>
              <w:pStyle w:val="TableContents"/>
              <w:bidi w:val="0"/>
              <w:spacing w:before="0" w:after="0"/>
              <w:ind w:left="0" w:right="0" w:hanging="0"/>
              <w:jc w:val="left"/>
              <w:rPr/>
            </w:pPr>
            <w:r>
              <w:rPr/>
              <w:t>​</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w:t>
            </w:r>
          </w:p>
        </w:tc>
      </w:tr>
      <w:tr>
        <w:trPr/>
        <w:tc>
          <w:tcPr>
            <w:tcW w:w="2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Personnel costs</w:t>
            </w:r>
          </w:p>
        </w:tc>
        <w:tc>
          <w:tcPr>
            <w:tcW w:w="109" w:type="dxa"/>
            <w:tcBorders/>
            <w:shd w:fill="CCEEFF" w:val="clear"/>
            <w:vAlign w:val="center"/>
          </w:tcPr>
          <w:p>
            <w:pPr>
              <w:pStyle w:val="TableContents"/>
              <w:bidi w:val="0"/>
              <w:spacing w:before="0" w:after="0"/>
              <w:ind w:left="0" w:right="0" w:hanging="0"/>
              <w:jc w:val="righ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458" w:type="dxa"/>
            <w:tcBorders/>
            <w:shd w:fill="CCEEFF" w:val="clear"/>
            <w:vAlign w:val="center"/>
          </w:tcPr>
          <w:p>
            <w:pPr>
              <w:pStyle w:val="TableContents"/>
              <w:bidi w:val="0"/>
              <w:spacing w:before="0" w:after="0"/>
              <w:ind w:left="0" w:right="0" w:hanging="0"/>
              <w:jc w:val="righ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Marketing</w:t>
            </w:r>
          </w:p>
        </w:tc>
        <w:tc>
          <w:tcPr>
            <w:tcW w:w="109"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45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06"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Service contracts/subscriptions</w:t>
            </w:r>
          </w:p>
        </w:tc>
        <w:tc>
          <w:tcPr>
            <w:tcW w:w="109" w:type="dxa"/>
            <w:tcBorders/>
            <w:shd w:fill="CCEEFF" w:val="clear"/>
            <w:vAlign w:val="center"/>
          </w:tcPr>
          <w:p>
            <w:pPr>
              <w:pStyle w:val="TableContents"/>
              <w:bidi w:val="0"/>
              <w:spacing w:before="0" w:after="0"/>
              <w:ind w:left="0" w:right="0" w:hanging="0"/>
              <w:jc w:val="right"/>
              <w:rPr/>
            </w:pPr>
            <w:r>
              <w:rPr/>
              <w:t>​</w:t>
            </w:r>
          </w:p>
        </w:tc>
        <w:tc>
          <w:tcPr>
            <w:tcW w:w="268" w:type="dxa"/>
            <w:tcBorders/>
            <w:shd w:fill="CCEEFF" w:val="clear"/>
            <w:vAlign w:val="center"/>
          </w:tcPr>
          <w:p>
            <w:pPr>
              <w:pStyle w:val="TableContents"/>
              <w:bidi w:val="0"/>
              <w:spacing w:before="0" w:after="0"/>
              <w:ind w:left="0" w:right="0" w:hanging="0"/>
              <w:jc w:val="righ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58" w:type="dxa"/>
            <w:tcBorders/>
            <w:shd w:fill="CCEEFF" w:val="clear"/>
            <w:vAlign w:val="center"/>
          </w:tcPr>
          <w:p>
            <w:pPr>
              <w:pStyle w:val="TableContents"/>
              <w:bidi w:val="0"/>
              <w:spacing w:before="0" w:after="0"/>
              <w:ind w:left="0" w:right="0" w:hanging="0"/>
              <w:jc w:val="right"/>
              <w:rPr/>
            </w:pPr>
            <w:r>
              <w:rPr/>
              <w:t>​</w:t>
            </w:r>
          </w:p>
        </w:tc>
        <w:tc>
          <w:tcPr>
            <w:tcW w:w="268" w:type="dxa"/>
            <w:tcBorders/>
            <w:shd w:fill="CCEEFF" w:val="clear"/>
            <w:vAlign w:val="center"/>
          </w:tcPr>
          <w:p>
            <w:pPr>
              <w:pStyle w:val="TableContents"/>
              <w:bidi w:val="0"/>
              <w:spacing w:before="0" w:after="0"/>
              <w:ind w:left="0" w:right="0" w:hanging="0"/>
              <w:jc w:val="righ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Professional fees</w:t>
            </w:r>
          </w:p>
        </w:tc>
        <w:tc>
          <w:tcPr>
            <w:tcW w:w="109"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5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06"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right"/>
              <w:rPr/>
            </w:pPr>
            <w:r>
              <w:rPr/>
              <w:t>​</w:t>
            </w:r>
          </w:p>
        </w:tc>
        <w:tc>
          <w:tcPr>
            <w:tcW w:w="268"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58" w:type="dxa"/>
            <w:tcBorders/>
            <w:shd w:fill="CCEEFF" w:val="clear"/>
            <w:vAlign w:val="center"/>
          </w:tcPr>
          <w:p>
            <w:pPr>
              <w:pStyle w:val="TableContents"/>
              <w:bidi w:val="0"/>
              <w:spacing w:before="0" w:after="0"/>
              <w:ind w:left="0" w:right="0" w:hanging="0"/>
              <w:jc w:val="right"/>
              <w:rPr/>
            </w:pPr>
            <w:r>
              <w:rPr/>
              <w:t>​</w:t>
            </w:r>
          </w:p>
        </w:tc>
        <w:tc>
          <w:tcPr>
            <w:tcW w:w="268"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Facilities operations</w:t>
            </w:r>
          </w:p>
        </w:tc>
        <w:tc>
          <w:tcPr>
            <w:tcW w:w="109"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5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06"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Credit card fees</w:t>
            </w:r>
          </w:p>
        </w:tc>
        <w:tc>
          <w:tcPr>
            <w:tcW w:w="109" w:type="dxa"/>
            <w:tcBorders/>
            <w:shd w:fill="CCEEFF" w:val="clear"/>
            <w:vAlign w:val="center"/>
          </w:tcPr>
          <w:p>
            <w:pPr>
              <w:pStyle w:val="TableContents"/>
              <w:bidi w:val="0"/>
              <w:spacing w:before="0" w:after="0"/>
              <w:ind w:left="0" w:right="0" w:hanging="0"/>
              <w:jc w:val="right"/>
              <w:rPr/>
            </w:pPr>
            <w:r>
              <w:rPr/>
              <w:t>​</w:t>
            </w:r>
          </w:p>
        </w:tc>
        <w:tc>
          <w:tcPr>
            <w:tcW w:w="268"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58" w:type="dxa"/>
            <w:tcBorders/>
            <w:shd w:fill="CCEEFF" w:val="clear"/>
            <w:vAlign w:val="center"/>
          </w:tcPr>
          <w:p>
            <w:pPr>
              <w:pStyle w:val="TableContents"/>
              <w:bidi w:val="0"/>
              <w:spacing w:before="0" w:after="0"/>
              <w:ind w:left="0" w:right="0" w:hanging="0"/>
              <w:jc w:val="right"/>
              <w:rPr/>
            </w:pPr>
            <w:r>
              <w:rPr/>
              <w:t>​</w:t>
            </w:r>
          </w:p>
        </w:tc>
        <w:tc>
          <w:tcPr>
            <w:tcW w:w="268"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0"/>
              <w:ind w:left="0" w:right="0" w:hanging="0"/>
              <w:jc w:val="righ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58" w:type="dxa"/>
            <w:tcBorders/>
            <w:vAlign w:val="center"/>
          </w:tcPr>
          <w:p>
            <w:pPr>
              <w:pStyle w:val="TableContents"/>
              <w:bidi w:val="0"/>
              <w:spacing w:before="0" w:after="0"/>
              <w:ind w:left="0" w:right="0" w:hanging="0"/>
              <w:jc w:val="righ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06"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SG&amp;A expense</w:t>
            </w:r>
          </w:p>
        </w:tc>
        <w:tc>
          <w:tcPr>
            <w:tcW w:w="109" w:type="dxa"/>
            <w:tcBorders/>
            <w:shd w:fill="CCEEFF" w:val="clear"/>
            <w:vAlign w:val="center"/>
          </w:tcPr>
          <w:p>
            <w:pPr>
              <w:pStyle w:val="TableContents"/>
              <w:bidi w:val="0"/>
              <w:spacing w:before="0" w:after="0"/>
              <w:ind w:left="0" w:right="0" w:hanging="0"/>
              <w:jc w:val="righ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458" w:type="dxa"/>
            <w:tcBorders/>
            <w:shd w:fill="CCEEFF" w:val="clear"/>
            <w:vAlign w:val="center"/>
          </w:tcPr>
          <w:p>
            <w:pPr>
              <w:pStyle w:val="TableContents"/>
              <w:bidi w:val="0"/>
              <w:spacing w:before="0" w:after="0"/>
              <w:ind w:left="0" w:right="0" w:hanging="0"/>
              <w:jc w:val="righ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Severance Expenses</w:t>
      </w:r>
      <w:r>
        <w:rPr>
          <w:rFonts w:ascii="Times New Roman;Times;serif" w:hAnsi="Times New Roman;Times;serif"/>
          <w:sz w:val="20"/>
        </w:rPr>
        <w:t xml:space="preserve">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2026 and 2025, we undertook actions to lower our cost structure. In connection with these initiatives, we incurred severance expenses of $3.1 million and $2.9 million for the three months ended March 31, 2026 and 2025, respectively. The severance expenses were related to voluntary and involuntary reductions in our workforce. Both the voluntary and involuntary reductions included cash severance and other related termination benefits. The majority of each of these costs are expected to be paid within a year of the applicable termination and any unpaid balances are included in accrued payroll on the condensed consolidated balance sheets as of March 31, 2026.</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Year-Over-Year Comparisons</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this section and elsewhere in this Quarterly Report on Form 10-Q we refer to changes in year-over-year results. Unless context otherwise requires, such references refer to changes between the three months ended March 31, 2026 and the three months ended March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Three Months Ended March 31, 2026 Compared to Three Months Ended March 31, 2025</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bookmarkStart w:id="948" w:name="Gross_Margin"/>
      <w:bookmarkEnd w:id="948"/>
      <w:r>
        <w:rPr>
          <w:rFonts w:ascii="Times New Roman;Times;serif" w:hAnsi="Times New Roman;Times;serif"/>
          <w:sz w:val="20"/>
        </w:rPr>
        <w:t>Changes in net sales and gross profit by segment are shown in the following table (dollars in millions):</w:t>
      </w:r>
    </w:p>
    <w:p>
      <w:pPr>
        <w:pStyle w:val="TextBody"/>
        <w:bidi w:val="0"/>
        <w:spacing w:before="0" w:after="0"/>
        <w:ind w:left="0" w:right="0" w:hanging="0"/>
        <w:jc w:val="left"/>
        <w:rPr/>
      </w:pPr>
      <w:r>
        <w:rPr/>
        <w:t>​</w:t>
      </w:r>
    </w:p>
    <w:tbl>
      <w:tblPr>
        <w:tblW w:w="8855" w:type="dxa"/>
        <w:jc w:val="left"/>
        <w:tblInd w:w="0" w:type="dxa"/>
        <w:tblLayout w:type="fixed"/>
        <w:tblCellMar>
          <w:top w:w="0" w:type="dxa"/>
          <w:left w:w="0" w:type="dxa"/>
          <w:bottom w:w="0" w:type="dxa"/>
          <w:right w:w="0" w:type="dxa"/>
        </w:tblCellMar>
      </w:tblPr>
      <w:tblGrid>
        <w:gridCol w:w="2026"/>
        <w:gridCol w:w="346"/>
        <w:gridCol w:w="211"/>
        <w:gridCol w:w="571"/>
        <w:gridCol w:w="346"/>
        <w:gridCol w:w="766"/>
        <w:gridCol w:w="361"/>
        <w:gridCol w:w="211"/>
        <w:gridCol w:w="571"/>
        <w:gridCol w:w="346"/>
        <w:gridCol w:w="766"/>
        <w:gridCol w:w="361"/>
        <w:gridCol w:w="211"/>
        <w:gridCol w:w="586"/>
        <w:gridCol w:w="109"/>
        <w:gridCol w:w="661"/>
        <w:gridCol w:w="40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86510" cy="175260"/>
                      <wp:effectExtent l="0" t="0" r="0" b="0"/>
                      <wp:wrapNone/>
                      <wp:docPr id="197" name="Frame19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62585" cy="175260"/>
                      <wp:effectExtent l="0" t="0" r="0" b="0"/>
                      <wp:wrapNone/>
                      <wp:docPr id="200" name="Frame2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86410" cy="175260"/>
                      <wp:effectExtent l="0" t="0" r="0" b="0"/>
                      <wp:wrapNone/>
                      <wp:docPr id="202" name="Frame20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29235" cy="175260"/>
                      <wp:effectExtent l="0" t="0" r="0" b="0"/>
                      <wp:wrapNone/>
                      <wp:docPr id="203" name="Frame20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62585" cy="175260"/>
                      <wp:effectExtent l="0" t="0" r="0" b="0"/>
                      <wp:wrapNone/>
                      <wp:docPr id="205" name="Frame2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86410" cy="175260"/>
                      <wp:effectExtent l="0" t="0" r="0" b="0"/>
                      <wp:wrapNone/>
                      <wp:docPr id="207" name="Frame20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29235" cy="175260"/>
                      <wp:effectExtent l="0" t="0" r="0" b="0"/>
                      <wp:wrapNone/>
                      <wp:docPr id="208" name="Frame20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72110" cy="175260"/>
                      <wp:effectExtent l="0" t="0" r="0" b="0"/>
                      <wp:wrapNone/>
                      <wp:docPr id="210" name="Frame21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19735" cy="175260"/>
                      <wp:effectExtent l="0" t="0" r="0" b="0"/>
                      <wp:wrapNone/>
                      <wp:docPr id="212" name="Frame21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57810" cy="175260"/>
                      <wp:effectExtent l="0" t="0" r="0" b="0"/>
                      <wp:wrapNone/>
                      <wp:docPr id="213" name="Frame21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center"/>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61"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61"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  ​ ​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w:t>
            </w:r>
          </w:p>
        </w:tc>
        <w:tc>
          <w:tcPr>
            <w:tcW w:w="34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c>
          <w:tcPr>
            <w:tcW w:w="34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Sector Solutions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346" w:type="dxa"/>
            <w:tcBorders/>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346" w:type="dxa"/>
            <w:tcBorders/>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61" w:type="dxa"/>
            <w:tcBorders/>
            <w:vAlign w:val="center"/>
          </w:tcPr>
          <w:p>
            <w:pPr>
              <w:pStyle w:val="TableContents"/>
              <w:bidi w:val="0"/>
              <w:spacing w:before="0" w:after="0"/>
              <w:ind w:left="0" w:right="0" w:hanging="0"/>
              <w:jc w:val="righ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406" w:type="dxa"/>
            <w:tcBorders/>
            <w:vAlign w:val="center"/>
          </w:tcPr>
          <w:p>
            <w:pPr>
              <w:pStyle w:val="TableContents"/>
              <w:bidi w:val="0"/>
              <w:spacing w:before="0" w:after="0"/>
              <w:ind w:left="0" w:right="0" w:hanging="0"/>
              <w:jc w:val="right"/>
              <w:rPr/>
            </w:pPr>
            <w:r>
              <w:rPr/>
              <w:t>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721.9</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701.0</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Solutions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06" w:type="dxa"/>
            <w:tcBorders/>
            <w:vAlign w:val="center"/>
          </w:tcPr>
          <w:p>
            <w:pPr>
              <w:pStyle w:val="TableContents"/>
              <w:bidi w:val="0"/>
              <w:spacing w:before="0" w:after="0"/>
              <w:ind w:left="0" w:right="0" w:hanging="0"/>
              <w:jc w:val="lef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Sector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61"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406" w:type="dxa"/>
            <w:tcBorders/>
            <w:shd w:fill="CCEEFF" w:val="clear"/>
            <w:vAlign w:val="center"/>
          </w:tcPr>
          <w:p>
            <w:pPr>
              <w:pStyle w:val="TableContents"/>
              <w:bidi w:val="0"/>
              <w:spacing w:before="0" w:after="0"/>
              <w:ind w:left="0" w:right="0" w:hanging="0"/>
              <w:jc w:val="right"/>
              <w:rPr/>
            </w:pPr>
            <w:r>
              <w:rPr/>
              <w:t>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Net sales </w:t>
      </w:r>
      <w:r>
        <w:rPr>
          <w:rFonts w:ascii="Times New Roman;Times;serif" w:hAnsi="Times New Roman;Times;serif"/>
          <w:sz w:val="20"/>
        </w:rPr>
        <w:t>increased for the first quarter of 2026 compared to the first quarter of 2025, as explained by the year-over-year changes discussed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$346.5 million for the Enterprise Solutions segment reflect an increase of $48.5 million, or 16.3%. The increase in net sales is primarily due to increases in net sales of notebooks/mobility, accessories, displays and sound, other hardware/services, and net/com products of $37.1 million, $6.8 million, $4.0 million, $3.7 million, and $3.5 million, respectively. These increases were partially offset by decreases in net sales of software and desktops of $4.7 million and $1.8 million,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$275.6 million for the Business Solutions segment reflect an increase of $17.2 million, or 6.6%. The increase in net sales is primarily due to increases in net sales across all product categories, most notably software, net/com products, other hardware/services, notebooks/mobility, desktops, and displays and sound of $7.5 million, $2.6 million, $2.5 million, $2.2 million, $1.5 million, and $0.5 million,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$99.8 million for the Public Sector Solutions segment reflect a decrease of $44.8 million, or 31.0%. Sales to the federal government decreased by $42.1 million, or 72.9%, compared to the prior year quarter, primarily due to a few large orders in the prior period that did not repeat. Sales to state and local government and educational institutions decreased by $2.7 million, or 3.1%. The decrease in net sales is primarily due to decreases in net sales of notebooks/mobility, accessories, servers/storage, desktops, and net/com products of $31.9 million, $6.1 million, $5.1 million, $2.7 million, and $2.3 million, respectively. These decreases were partially offset by increases in net sales of other hardware/services and software of $1.8 million and $1.2 million, respectively.</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xml:space="preserve"> for the first quarter of 2026 increased year-over-year, as explained by the year-over-year changes discussed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Enterprise Solutions segment increased by $7.9 million year-over-year primarily due to the increase in net sales as discussed in the preceding paragraph.</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Business Solutions segment increased by $2.1 million year-over-year primarily due to the increase in net sales as discussed in the preceding paragraph.</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Public Sector Solutions segment decreased by $4.6 million primarily due to the decrease in net sales as discussed in the preceding paragraph.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Gross margin</w:t>
      </w:r>
      <w:r>
        <w:rPr>
          <w:rFonts w:ascii="Times New Roman;Times;serif" w:hAnsi="Times New Roman;Times;serif"/>
          <w:sz w:val="20"/>
        </w:rPr>
        <w:t xml:space="preserve"> for the first quarter of 2026 increased year-over-year, as explained by the year-over-year changes discussed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Enterprise Solutions segment increased by 30 basis points primarily as a result of an increase in invoice margins in notebooks/mobility primarily due to changes in customer mix.</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Business Solutions segment decreased by 80 basis points primarily as a result of decreases in invoice margins in notebooks/mobility and desktops primarily due to changes in customer mix.</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Public Sector Solutions segment increased by 140 basis points primarily due to an increase in the amount of software sales recognized on a net basis relative to total net sales in the segment, as well as a few low-margin deals in the prior period that did not repeat.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Selling, general and administrative expenses</w:t>
      </w:r>
      <w:r>
        <w:rPr>
          <w:rFonts w:ascii="Times New Roman;Times;serif" w:hAnsi="Times New Roman;Times;serif"/>
          <w:sz w:val="20"/>
        </w:rPr>
        <w:t xml:space="preserve"> for the first quarter of 2026 decreased both in dollars and as a percentage of net sales compared to the first quarter of 2025. SG&amp;A expenses attributable to our three segments and the remaining unallocated Headquarters/Other expenses are summarized in the table below (dollars in millions):</w:t>
      </w:r>
    </w:p>
    <w:p>
      <w:pPr>
        <w:pStyle w:val="TextBody"/>
        <w:bidi w:val="0"/>
        <w:spacing w:before="0" w:after="0"/>
        <w:ind w:left="0" w:right="0" w:hanging="0"/>
        <w:jc w:val="both"/>
        <w:rPr/>
      </w:pPr>
      <w:r>
        <w:rPr/>
        <w:t>​</w:t>
      </w:r>
    </w:p>
    <w:tbl>
      <w:tblPr>
        <w:tblW w:w="9980" w:type="dxa"/>
        <w:jc w:val="left"/>
        <w:tblInd w:w="0" w:type="dxa"/>
        <w:tblLayout w:type="fixed"/>
        <w:tblCellMar>
          <w:top w:w="0" w:type="dxa"/>
          <w:left w:w="0" w:type="dxa"/>
          <w:bottom w:w="0" w:type="dxa"/>
          <w:right w:w="0" w:type="dxa"/>
        </w:tblCellMar>
      </w:tblPr>
      <w:tblGrid>
        <w:gridCol w:w="2746"/>
        <w:gridCol w:w="346"/>
        <w:gridCol w:w="211"/>
        <w:gridCol w:w="571"/>
        <w:gridCol w:w="346"/>
        <w:gridCol w:w="1021"/>
        <w:gridCol w:w="361"/>
        <w:gridCol w:w="211"/>
        <w:gridCol w:w="571"/>
        <w:gridCol w:w="346"/>
        <w:gridCol w:w="1021"/>
        <w:gridCol w:w="361"/>
        <w:gridCol w:w="211"/>
        <w:gridCol w:w="481"/>
        <w:gridCol w:w="109"/>
        <w:gridCol w:w="661"/>
        <w:gridCol w:w="40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743710" cy="175260"/>
                      <wp:effectExtent l="0" t="0" r="0" b="0"/>
                      <wp:wrapNone/>
                      <wp:docPr id="214" name="Frame214"/>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62585" cy="175260"/>
                      <wp:effectExtent l="0" t="0" r="0" b="0"/>
                      <wp:wrapNone/>
                      <wp:docPr id="217" name="Frame2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335" cy="175260"/>
                      <wp:effectExtent l="0" t="0" r="0" b="0"/>
                      <wp:wrapNone/>
                      <wp:docPr id="219" name="Frame21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9235" cy="175260"/>
                      <wp:effectExtent l="0" t="0" r="0" b="0"/>
                      <wp:wrapNone/>
                      <wp:docPr id="220" name="Frame2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62585" cy="175260"/>
                      <wp:effectExtent l="0" t="0" r="0" b="0"/>
                      <wp:wrapNone/>
                      <wp:docPr id="222" name="Frame2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335" cy="175260"/>
                      <wp:effectExtent l="0" t="0" r="0" b="0"/>
                      <wp:wrapNone/>
                      <wp:docPr id="224" name="Frame22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29235" cy="175260"/>
                      <wp:effectExtent l="0" t="0" r="0" b="0"/>
                      <wp:wrapNone/>
                      <wp:docPr id="225" name="Frame22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05435" cy="175260"/>
                      <wp:effectExtent l="0" t="0" r="0" b="0"/>
                      <wp:wrapNone/>
                      <wp:docPr id="227" name="Frame22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19735" cy="175260"/>
                      <wp:effectExtent l="0" t="0" r="0" b="0"/>
                      <wp:wrapNone/>
                      <wp:docPr id="229" name="Frame22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57810" cy="175260"/>
                      <wp:effectExtent l="0" t="0" r="0" b="0"/>
                      <wp:wrapNone/>
                      <wp:docPr id="230" name="Frame23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5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center"/>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 Net</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 Net</w:t>
            </w:r>
          </w:p>
        </w:tc>
        <w:tc>
          <w:tcPr>
            <w:tcW w:w="361" w:type="dxa"/>
            <w:tcBorders/>
            <w:vAlign w:val="center"/>
          </w:tcPr>
          <w:p>
            <w:pPr>
              <w:pStyle w:val="TableContents"/>
              <w:bidi w:val="0"/>
              <w:spacing w:before="0" w:after="0"/>
              <w:ind w:left="0" w:right="0" w:hanging="0"/>
              <w:jc w:val="center"/>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  ​ ​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Solutions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06" w:type="dxa"/>
            <w:tcBorders/>
            <w:vAlign w:val="center"/>
          </w:tcPr>
          <w:p>
            <w:pPr>
              <w:pStyle w:val="TableContents"/>
              <w:bidi w:val="0"/>
              <w:spacing w:before="0" w:after="0"/>
              <w:ind w:left="0" w:right="0" w:hanging="0"/>
              <w:jc w:val="lef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Sector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61"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06" w:type="dxa"/>
            <w:tcBorders/>
            <w:shd w:fill="CCEEFF" w:val="clear"/>
            <w:vAlign w:val="center"/>
          </w:tcPr>
          <w:p>
            <w:pPr>
              <w:pStyle w:val="TableContents"/>
              <w:bidi w:val="0"/>
              <w:spacing w:before="0" w:after="0"/>
              <w:ind w:left="0" w:right="0" w:hanging="0"/>
              <w:jc w:val="right"/>
              <w:rPr/>
            </w:pPr>
            <w:r>
              <w:rPr/>
              <w:t>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Headquarters/Other, unallocated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406" w:type="dxa"/>
            <w:tcBorders/>
            <w:vAlign w:val="center"/>
          </w:tcPr>
          <w:p>
            <w:pPr>
              <w:pStyle w:val="TableContents"/>
              <w:bidi w:val="0"/>
              <w:spacing w:before="0" w:after="0"/>
              <w:ind w:left="0" w:right="0" w:hanging="0"/>
              <w:jc w:val="right"/>
              <w:rPr/>
            </w:pPr>
            <w:r>
              <w:rPr/>
              <w: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34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w:t>
            </w:r>
          </w:p>
        </w:tc>
        <w:tc>
          <w:tcPr>
            <w:tcW w:w="34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expenses for the Enterprise Solutions segment increased year-over-year in dollars but decreased as a percentage of net sales. The year-over-year change in SG&amp;A dollars was primarily attributable to an increase in personnel costs of $1.7 million. SG&amp;A expenses as a percentage of net sales were 11.4% for the Enterprise Solutions segment for the first quarter of 2026, which reflects a decrease of 130 basis points and is primarily due to the increase in net sales as discussed above.</w:t>
            </w:r>
          </w:p>
        </w:tc>
      </w:tr>
    </w:tbl>
    <w:p>
      <w:pPr>
        <w:pStyle w:val="TextBody"/>
        <w:bidi w:val="0"/>
        <w:spacing w:before="100" w:after="10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SG&amp;A expenses for the Business Solutions segment remained substantially the same</w:t>
            </w:r>
            <w:r>
              <w:rPr>
                <w:caps w:val="false"/>
                <w:smallCaps w:val="false"/>
              </w:rPr>
              <w:t xml:space="preserve"> </w:t>
            </w:r>
            <w:r>
              <w:rPr>
                <w:rFonts w:ascii="Times New Roman;Times;serif" w:hAnsi="Times New Roman;Times;serif"/>
                <w:b w:val="false"/>
                <w:i w:val="false"/>
                <w:caps w:val="false"/>
                <w:smallCaps w:val="false"/>
                <w:sz w:val="20"/>
              </w:rPr>
              <w:t>year-over-year in dollars but decreased as a percentage of net sales. A decrease in marketing of $1.6 million was substantially offset by increases in use of shared Headquarter services, other expenses, and personnel costs of $1.1 million, $0.2 million, and $0.2 million, respectively. SG&amp;A expenses as a percentage of net sales were 16.4% for the Business Solutions segment for the first quarter of 2026, which reflects a decrease of 120 basis points and is primarily due to the increase in net sales as discussed above.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SG&amp;A expenses for the Public Sector Solutions segment decreased year-over-year in dollars but increased as</w:t>
            </w:r>
            <w:r>
              <w:rPr>
                <w:caps w:val="false"/>
                <w:smallCaps w:val="false"/>
              </w:rPr>
              <w:t xml:space="preserve"> </w:t>
            </w:r>
            <w:r>
              <w:rPr>
                <w:rFonts w:ascii="Times New Roman;Times;serif" w:hAnsi="Times New Roman;Times;serif"/>
                <w:b w:val="false"/>
                <w:i w:val="false"/>
                <w:caps w:val="false"/>
                <w:smallCaps w:val="false"/>
                <w:sz w:val="20"/>
              </w:rPr>
              <w:t>a percentage of net sales. The year-over-year change in SG&amp;A dollars was primarily attributable to decreases in personnel costs, professional fees, and marketing of $1.8 million, $0.7 million, and $0.3 million, respectively, partially offset by an increase in use of shared Headquarter services of $0.5 million.</w:t>
            </w:r>
            <w:r>
              <w:rPr>
                <w:caps w:val="false"/>
                <w:smallCaps w:val="false"/>
              </w:rPr>
              <w:t xml:space="preserve"> </w:t>
            </w:r>
            <w:r>
              <w:rPr>
                <w:rFonts w:ascii="Times New Roman;Times;serif" w:hAnsi="Times New Roman;Times;serif"/>
                <w:b w:val="false"/>
                <w:i w:val="false"/>
                <w:caps w:val="false"/>
                <w:smallCaps w:val="false"/>
                <w:sz w:val="20"/>
              </w:rPr>
              <w:t>SG&amp;A expenses as a percentage of net sales were 20.5% for the Public Sector Solutions segment for the first quarter of 2026, which reflects an increase of 470 basis points and is primarily due to the decrease in net sales discussed above.</w:t>
            </w:r>
          </w:p>
        </w:tc>
      </w:tr>
    </w:tbl>
    <w:p>
      <w:pPr>
        <w:pStyle w:val="TextBody"/>
        <w:bidi w:val="0"/>
        <w:spacing w:before="100" w:after="10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SG&amp;A</w:t>
            </w:r>
            <w:r>
              <w:rPr>
                <w:caps w:val="false"/>
                <w:smallCaps w:val="false"/>
              </w:rPr>
              <w:t xml:space="preserve"> </w:t>
            </w:r>
            <w:r>
              <w:rPr>
                <w:rFonts w:ascii="Times New Roman;Times;serif" w:hAnsi="Times New Roman;Times;serif"/>
                <w:b w:val="false"/>
                <w:i w:val="false"/>
                <w:caps w:val="false"/>
                <w:smallCaps w:val="false"/>
                <w:sz w:val="20"/>
              </w:rPr>
              <w:t xml:space="preserve">expenses for the Headquarters/Other increased year-over-year by $0.5 million primarily due to increases in personnel costs, marketing, and professional fees of $1.5 million, $0.4 million, and $0.4 million, respectively, partially offset by an increase in the allocated amounts to the operating segments of $2.1 million. The Headquarters/Other provides services to the three segments in areas such as finance, distribution center, human resources, IT, marketing, and product management. Most of the operating costs associated with such corporate Headquarters/Other services are charged to the segments based on their estimated allocation usage of the underlying services.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Severance expenses</w:t>
      </w:r>
      <w:r>
        <w:rPr>
          <w:rFonts w:ascii="Times New Roman;Times;serif" w:hAnsi="Times New Roman;Times;serif"/>
          <w:sz w:val="20"/>
        </w:rPr>
        <w:t xml:space="preserve"> for the first quarter of 2026 were $3.1 million, compared to $2.9 million for the first quarter of 2025. The severance expenses were related to voluntary and involuntary reductions in our workforce to lower our cost structure and included cash severance and other related termination benefits.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Income from operations</w:t>
      </w:r>
      <w:r>
        <w:rPr>
          <w:rFonts w:ascii="Times New Roman;Times;serif" w:hAnsi="Times New Roman;Times;serif"/>
          <w:sz w:val="20"/>
        </w:rPr>
        <w:t xml:space="preserve"> for the first quarter of 2026 was $20.2 million, compared to $14.5 million for the first quarter of 2025. Income from operations as a percentage of net sales increased to 2.8% for the first quarter of 2026, compared to 2.1% for the prior year quarter. The increase in income from operations both in dollars and as a percentage of net sales is primarily due to the increases in net sales and gross profit as discussed above.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Interest income, net</w:t>
      </w:r>
      <w:r>
        <w:rPr>
          <w:rFonts w:ascii="Times New Roman;Times;serif" w:hAnsi="Times New Roman;Times;serif"/>
          <w:sz w:val="20"/>
        </w:rPr>
        <w:t xml:space="preserve"> for the first quarter of 2026 decreased to $3.4 million, compared to $3.9 million for the first quarter of 2025, primarily due to a decrease in interest income of $0.5 million. The decrease in interest income is primarily a result of lower realized interest rates in the current period.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Our provision for income taxes for the first quarter of 2026 increased to $6.4 million, compared to $5.0 million for the first quarter of 2025. The increase in our provision for income taxes was primarily due to the increase in income before taxes. Our effective tax rate was 27.0% for the quarter ended March 31, 2026, compared to 27.1% for the quarter ended March 31, 2025.</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bookmarkStart w:id="949" w:name="_Hlk47105113"/>
      <w:bookmarkEnd w:id="949"/>
      <w:r>
        <w:rPr>
          <w:rFonts w:ascii="Times New Roman;Times;serif" w:hAnsi="Times New Roman;Times;serif"/>
          <w:i/>
          <w:sz w:val="20"/>
        </w:rPr>
        <w:t>Net income</w:t>
      </w:r>
      <w:r>
        <w:rPr>
          <w:rFonts w:ascii="Times New Roman;Times;serif" w:hAnsi="Times New Roman;Times;serif"/>
          <w:sz w:val="20"/>
        </w:rPr>
        <w:t xml:space="preserve"> for the first quarter of 2026 increased to $17.2 million, compared to $13.5 million for the first quarter of 2025, primarily due to the increase in income from operations, partially offset by the decrease in interest income, net and the increase in our provision for income taxes, as discussed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primary sources of liquidity are internally generated funds from operations and short-term investments. We have historically used and expect to use in the future those funds to meet our capital requirements, which consist primarily of working capital for operational needs, capital expenditures for computer equipment and software used in our business, repurchases of our common stock for treasury, dividend payments, and as opportunities arise, possible acquisitions of new businesses.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believe that funds generated from operations and short-term investments will be sufficient to finance our working capital, capital expenditures, and other requirements for at least the next twelve calendar months and beyond such twelve calendar month period. Our investments in IT systems and infrastructure are designed to enable us to operate more efficiently and to provide our customers enhanced functionality.</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expect to meet our cash requirements for the next twelve months and beyond through a combination of cash on hand, short-term investments, and cash generated from operations, as follows:</w:t>
      </w:r>
    </w:p>
    <w:p>
      <w:pPr>
        <w:pStyle w:val="TextBody"/>
        <w:bidi w:val="0"/>
        <w:spacing w:before="100" w:after="100"/>
        <w:ind w:left="0" w:right="0" w:hanging="0"/>
        <w:jc w:val="left"/>
        <w:rPr/>
      </w:pPr>
      <w:r>
        <w:rPr/>
        <w:t>​</w:t>
      </w:r>
    </w:p>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Cash and Cash Equivalents</w:t>
            </w:r>
            <w:r>
              <w:rPr>
                <w:rFonts w:ascii="Times New Roman;Times;serif" w:hAnsi="Times New Roman;Times;serif"/>
                <w:b w:val="false"/>
                <w:i w:val="false"/>
                <w:caps w:val="false"/>
                <w:smallCaps w:val="false"/>
                <w:sz w:val="20"/>
              </w:rPr>
              <w:t>. As of March 31, 2026, we had $196.3 million in cash and cash equivalents.</w:t>
            </w:r>
          </w:p>
        </w:tc>
      </w:tr>
    </w:tbl>
    <w:p>
      <w:pPr>
        <w:pStyle w:val="TextBody"/>
        <w:bidi w:val="0"/>
        <w:spacing w:before="100" w:after="100"/>
        <w:ind w:left="0" w:right="0" w:hanging="0"/>
        <w:jc w:val="left"/>
        <w:rPr/>
      </w:pPr>
      <w:r>
        <w:rPr/>
        <w:t>​</w:t>
      </w:r>
    </w:p>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Short-term Investments</w:t>
            </w:r>
            <w:r>
              <w:rPr>
                <w:rFonts w:ascii="Times New Roman;Times;serif" w:hAnsi="Times New Roman;Times;serif"/>
                <w:b w:val="false"/>
                <w:i w:val="false"/>
                <w:caps w:val="false"/>
                <w:smallCaps w:val="false"/>
                <w:sz w:val="20"/>
              </w:rPr>
              <w:t>. As of March 31, 2026, we had $215.2 million in short-term investments.</w:t>
            </w:r>
          </w:p>
        </w:tc>
      </w:tr>
    </w:tbl>
    <w:p>
      <w:pPr>
        <w:pStyle w:val="TextBody"/>
        <w:bidi w:val="0"/>
        <w:spacing w:before="100" w:after="10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Cash Generated from Operations</w:t>
            </w:r>
            <w:r>
              <w:rPr>
                <w:rFonts w:ascii="Times New Roman;Times;serif" w:hAnsi="Times New Roman;Times;serif"/>
                <w:b w:val="false"/>
                <w:i w:val="false"/>
                <w:caps w:val="false"/>
                <w:smallCaps w:val="false"/>
                <w:sz w:val="20"/>
              </w:rPr>
              <w:t>. We expect to generate cash flows from operations in excess of operating cash needs by generating earnings and managing net changes in inventories and receivables with changes in payables to generate positive cash flow.</w:t>
            </w:r>
          </w:p>
        </w:tc>
      </w:tr>
    </w:tbl>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we do not anticipate needing any additional sources of financing to fund our operations at this time, if demand for IT products declines, or our customers are materially adversely impacted by the developing macroeconomic trends characterized by inflation and increased interest rates, our cash flows from operations may be substantially affected.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summary of 2026 dividend activity for our common stock is as follows:</w:t>
      </w:r>
    </w:p>
    <w:p>
      <w:pPr>
        <w:pStyle w:val="TextBody"/>
        <w:bidi w:val="0"/>
        <w:spacing w:before="0" w:after="0"/>
        <w:ind w:left="0" w:right="0" w:firstLine="360"/>
        <w:jc w:val="left"/>
        <w:rPr/>
      </w:pPr>
      <w:r>
        <w:rPr/>
        <w:t>​</w:t>
      </w:r>
    </w:p>
    <w:tbl>
      <w:tblPr>
        <w:tblW w:w="6846" w:type="dxa"/>
        <w:jc w:val="left"/>
        <w:tblInd w:w="0" w:type="dxa"/>
        <w:tblLayout w:type="fixed"/>
        <w:tblCellMar>
          <w:top w:w="0" w:type="dxa"/>
          <w:left w:w="0" w:type="dxa"/>
          <w:bottom w:w="0" w:type="dxa"/>
          <w:right w:w="0" w:type="dxa"/>
        </w:tblCellMar>
      </w:tblPr>
      <w:tblGrid>
        <w:gridCol w:w="455"/>
        <w:gridCol w:w="940"/>
        <w:gridCol w:w="346"/>
        <w:gridCol w:w="1486"/>
        <w:gridCol w:w="346"/>
        <w:gridCol w:w="1591"/>
        <w:gridCol w:w="346"/>
        <w:gridCol w:w="1336"/>
      </w:tblGrid>
      <w:tr>
        <w:trPr/>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88925" cy="175260"/>
                      <wp:effectExtent l="0" t="0" r="0" b="0"/>
                      <wp:wrapNone/>
                      <wp:docPr id="231" name="Frame231"/>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96900" cy="175260"/>
                      <wp:effectExtent l="0" t="0" r="0" b="0"/>
                      <wp:wrapNone/>
                      <wp:docPr id="232" name="Frame232"/>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943610" cy="175260"/>
                      <wp:effectExtent l="0" t="0" r="0" b="0"/>
                      <wp:wrapNone/>
                      <wp:docPr id="234" name="Frame234"/>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010285" cy="175260"/>
                      <wp:effectExtent l="0" t="0" r="0" b="0"/>
                      <wp:wrapNone/>
                      <wp:docPr id="236" name="Frame236"/>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848360" cy="175260"/>
                      <wp:effectExtent l="0" t="0" r="0" b="0"/>
                      <wp:wrapNone/>
                      <wp:docPr id="238" name="Frame238"/>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Dividend Amount</w:t>
            </w:r>
          </w:p>
        </w:tc>
        <w:tc>
          <w:tcPr>
            <w:tcW w:w="346" w:type="dxa"/>
            <w:tcBorders/>
            <w:vAlign w:val="center"/>
          </w:tcPr>
          <w:p>
            <w:pPr>
              <w:pStyle w:val="TableContents"/>
              <w:bidi w:val="0"/>
              <w:spacing w:before="0" w:after="0"/>
              <w:ind w:left="0" w:right="0" w:hanging="0"/>
              <w:jc w:val="left"/>
              <w:rPr/>
            </w:pPr>
            <w:r>
              <w:rPr/>
              <w:t>  ​ ​ ​</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Declaration Date</w:t>
            </w:r>
          </w:p>
        </w:tc>
        <w:tc>
          <w:tcPr>
            <w:tcW w:w="346" w:type="dxa"/>
            <w:tcBorders/>
            <w:vAlign w:val="center"/>
          </w:tcPr>
          <w:p>
            <w:pPr>
              <w:pStyle w:val="TableContents"/>
              <w:bidi w:val="0"/>
              <w:spacing w:before="0" w:after="0"/>
              <w:ind w:left="0" w:right="0" w:hanging="0"/>
              <w:jc w:val="left"/>
              <w:rPr/>
            </w:pPr>
            <w:r>
              <w:rPr/>
              <w:t>  ​ ​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vAlign w:val="center"/>
          </w:tcPr>
          <w:p>
            <w:pPr>
              <w:pStyle w:val="TableContents"/>
              <w:bidi w:val="0"/>
              <w:spacing w:before="0" w:after="0"/>
              <w:ind w:left="0" w:right="0" w:hanging="0"/>
              <w:jc w:val="left"/>
              <w:rPr/>
            </w:pPr>
            <w:r>
              <w:rPr/>
              <w:t>  ​ ​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r>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46"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3, 2026</w:t>
            </w:r>
          </w:p>
        </w:tc>
        <w:tc>
          <w:tcPr>
            <w:tcW w:w="346"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17, 2026</w:t>
            </w:r>
          </w:p>
        </w:tc>
        <w:tc>
          <w:tcPr>
            <w:tcW w:w="34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6, 2026</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April 29, 2026, we announced that our Board of Directors declared a quarterly cash dividend on our common stock of $0.20 per share. The dividend will be paid on May 29, 2026 to all stockholders of record as of the close of business on May 12, 2026. The declaration and payment of any future dividends is at the discretion of our Board of Directors and will depend upon our financial position, strategic plans, general business conditions and any other factors deemed relevant by our Board of Directors.</w:t>
      </w:r>
    </w:p>
    <w:p>
      <w:pPr>
        <w:pStyle w:val="TextBody"/>
        <w:bidi w:val="0"/>
        <w:spacing w:before="0" w:after="0"/>
        <w:ind w:left="0" w:right="0" w:hanging="0"/>
        <w:jc w:val="left"/>
        <w:rPr/>
      </w:pPr>
      <w:r>
        <w:rPr/>
        <w:t>​</w:t>
      </w:r>
    </w:p>
    <w:p>
      <w:pPr>
        <w:pStyle w:val="TextBody"/>
        <w:bidi w:val="0"/>
        <w:spacing w:before="0" w:after="0"/>
        <w:ind w:left="360" w:right="515" w:hanging="0"/>
        <w:jc w:val="left"/>
        <w:rPr>
          <w:rFonts w:ascii="Times New Roman;Times;serif" w:hAnsi="Times New Roman;Times;serif"/>
          <w:b/>
          <w:i/>
          <w:sz w:val="20"/>
        </w:rPr>
      </w:pPr>
      <w:r>
        <w:rPr>
          <w:rFonts w:ascii="Times New Roman;Times;serif" w:hAnsi="Times New Roman;Times;serif"/>
          <w:b/>
          <w:i/>
          <w:sz w:val="20"/>
        </w:rPr>
        <w:t>Summary of Sources and Uses of Cash</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flows from operating, investing and financing activities for the three months ended March 31, 2026 and 2025, as reflected in our Unaudited Condensed Consolidated Statements of Cash Flows included in Item 1 of this Quarterly Report on Form 10-Q, are summarized in the following table (in millions):</w:t>
      </w:r>
    </w:p>
    <w:tbl>
      <w:tblPr>
        <w:tblW w:w="7051" w:type="dxa"/>
        <w:jc w:val="left"/>
        <w:tblInd w:w="0" w:type="dxa"/>
        <w:tblLayout w:type="fixed"/>
        <w:tblCellMar>
          <w:top w:w="0" w:type="dxa"/>
          <w:left w:w="0" w:type="dxa"/>
          <w:bottom w:w="0" w:type="dxa"/>
          <w:right w:w="0" w:type="dxa"/>
        </w:tblCellMar>
      </w:tblPr>
      <w:tblGrid>
        <w:gridCol w:w="4216"/>
        <w:gridCol w:w="346"/>
        <w:gridCol w:w="279"/>
        <w:gridCol w:w="637"/>
        <w:gridCol w:w="458"/>
        <w:gridCol w:w="279"/>
        <w:gridCol w:w="83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677160" cy="175260"/>
                      <wp:effectExtent l="0" t="0" r="0" b="0"/>
                      <wp:wrapNone/>
                      <wp:docPr id="239" name="Frame23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77165" cy="175260"/>
                      <wp:effectExtent l="0" t="0" r="0" b="0"/>
                      <wp:wrapNone/>
                      <wp:docPr id="241" name="Frame24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04495" cy="175260"/>
                      <wp:effectExtent l="0" t="0" r="0" b="0"/>
                      <wp:wrapNone/>
                      <wp:docPr id="242" name="Frame242"/>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90830" cy="175260"/>
                      <wp:effectExtent l="0" t="0" r="0" b="0"/>
                      <wp:wrapNone/>
                      <wp:docPr id="243" name="Frame243"/>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77165" cy="175260"/>
                      <wp:effectExtent l="0" t="0" r="0" b="0"/>
                      <wp:wrapNone/>
                      <wp:docPr id="244" name="Frame24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30860" cy="175260"/>
                      <wp:effectExtent l="0" t="0" r="0" b="0"/>
                      <wp:wrapNone/>
                      <wp:docPr id="245" name="Frame245"/>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37"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8" w:type="dxa"/>
            <w:tcBorders/>
            <w:vAlign w:val="center"/>
          </w:tcPr>
          <w:p>
            <w:pPr>
              <w:pStyle w:val="TableContents"/>
              <w:bidi w:val="0"/>
              <w:spacing w:before="0" w:after="0"/>
              <w:ind w:left="0" w:right="0" w:hanging="0"/>
              <w:jc w:val="left"/>
              <w:rPr/>
            </w:pPr>
            <w:r>
              <w:rPr/>
              <w:t>  ​ ​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458"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right"/>
              <w:rPr/>
            </w:pPr>
            <w:r>
              <w:rPr/>
              <w:t> </w:t>
            </w:r>
          </w:p>
        </w:tc>
        <w:tc>
          <w:tcPr>
            <w:tcW w:w="6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58" w:type="dxa"/>
            <w:tcBorders/>
            <w:vAlign w:val="center"/>
          </w:tcPr>
          <w:p>
            <w:pPr>
              <w:pStyle w:val="TableContents"/>
              <w:bidi w:val="0"/>
              <w:spacing w:before="0" w:after="0"/>
              <w:ind w:left="0" w:right="0" w:hanging="0"/>
              <w:jc w:val="right"/>
              <w:rPr/>
            </w:pPr>
            <w:r>
              <w:rPr/>
              <w:t>​</w:t>
            </w:r>
          </w:p>
        </w:tc>
        <w:tc>
          <w:tcPr>
            <w:tcW w:w="27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458" w:type="dxa"/>
            <w:tcBorders/>
            <w:shd w:fill="CCEEFF" w:val="clear"/>
            <w:vAlign w:val="center"/>
          </w:tcPr>
          <w:p>
            <w:pPr>
              <w:pStyle w:val="TableContents"/>
              <w:bidi w:val="0"/>
              <w:spacing w:before="0" w:after="0"/>
              <w:ind w:left="0" w:right="0" w:hanging="0"/>
              <w:jc w:val="righ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58" w:type="dxa"/>
            <w:tcBorders/>
            <w:vAlign w:val="center"/>
          </w:tcPr>
          <w:p>
            <w:pPr>
              <w:pStyle w:val="TableContents"/>
              <w:bidi w:val="0"/>
              <w:spacing w:before="0" w:after="0"/>
              <w:ind w:left="0" w:right="0" w:hanging="0"/>
              <w:jc w:val="righ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Cash provided by (used in) operating activities</w:t>
      </w:r>
      <w:r>
        <w:rPr>
          <w:rFonts w:ascii="Times New Roman;Times;serif" w:hAnsi="Times New Roman;Times;serif"/>
          <w:sz w:val="20"/>
        </w:rPr>
        <w:t xml:space="preserve"> is summarized as follows (in millions):</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7406"/>
        <w:gridCol w:w="146"/>
        <w:gridCol w:w="211"/>
        <w:gridCol w:w="585"/>
        <w:gridCol w:w="109"/>
        <w:gridCol w:w="211"/>
        <w:gridCol w:w="585"/>
        <w:gridCol w:w="109"/>
        <w:gridCol w:w="211"/>
        <w:gridCol w:w="632"/>
      </w:tblGrid>
      <w:tr>
        <w:trPr/>
        <w:tc>
          <w:tcPr>
            <w:tcW w:w="7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702810" cy="175260"/>
                      <wp:effectExtent l="0" t="0" r="0" b="0"/>
                      <wp:wrapNone/>
                      <wp:docPr id="246" name="Frame246"/>
                      <a:graphic xmlns:a="http://schemas.openxmlformats.org/drawingml/2006/main">
                        <a:graphicData uri="http://schemas.microsoft.com/office/word/2010/wordprocessingShape">
                          <wps:wsp>
                            <wps:cNvSpPr txBox="1"/>
                            <wps:spPr>
                              <a:xfrm>
                                <a:off x="0" y="0"/>
                                <a:ext cx="470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92710" cy="175260"/>
                      <wp:effectExtent l="0" t="0" r="0" b="0"/>
                      <wp:wrapNone/>
                      <wp:docPr id="247" name="Frame24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71475" cy="175260"/>
                      <wp:effectExtent l="0" t="0" r="0" b="0"/>
                      <wp:wrapNone/>
                      <wp:docPr id="249" name="Frame249"/>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71475" cy="175260"/>
                      <wp:effectExtent l="0" t="0" r="0" b="0"/>
                      <wp:wrapNone/>
                      <wp:docPr id="252" name="Frame252"/>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01320" cy="175260"/>
                      <wp:effectExtent l="0" t="0" r="0" b="0"/>
                      <wp:wrapNone/>
                      <wp:docPr id="255" name="Frame255"/>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26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7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(used in) operating activities: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2" w:type="dxa"/>
            <w:tcBorders/>
            <w:vAlign w:val="center"/>
          </w:tcPr>
          <w:p>
            <w:pPr>
              <w:pStyle w:val="TableContents"/>
              <w:bidi w:val="0"/>
              <w:spacing w:before="0" w:after="0"/>
              <w:ind w:left="0" w:right="0" w:hanging="0"/>
              <w:jc w:val="right"/>
              <w:rPr/>
            </w:pPr>
            <w:r>
              <w:rPr/>
              <w:t>​</w:t>
            </w:r>
          </w:p>
        </w:tc>
      </w:tr>
      <w:tr>
        <w:trPr/>
        <w:tc>
          <w:tcPr>
            <w:tcW w:w="7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7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credit losses reserve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7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7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7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discount on short-term investments,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7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7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2" w:type="dxa"/>
            <w:tcBorders/>
            <w:shd w:fill="CCEEFF" w:val="clear"/>
            <w:vAlign w:val="center"/>
          </w:tcPr>
          <w:p>
            <w:pPr>
              <w:pStyle w:val="TableContents"/>
              <w:bidi w:val="0"/>
              <w:spacing w:before="0" w:after="0"/>
              <w:ind w:left="0" w:right="0" w:hanging="0"/>
              <w:jc w:val="right"/>
              <w:rPr/>
            </w:pPr>
            <w:r>
              <w:rPr/>
              <w:t>​</w:t>
            </w:r>
          </w:p>
        </w:tc>
      </w:tr>
      <w:tr>
        <w:trPr/>
        <w:tc>
          <w:tcPr>
            <w:tcW w:w="7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7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7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7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r>
      <w:tr>
        <w:trPr/>
        <w:tc>
          <w:tcPr>
            <w:tcW w:w="7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7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3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66.7</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increase in net cash from operating activities of $66.7 million for the three months ended March 31, 2026 was primarily attributable to changes in accounts payable and accounts receivable of $85.1 million and $20.8 million, respectively. The change in cash from operating activities attributable to accounts payable is primarily due to the timing of payments. The change in cash from operating activities attributable to accounts receivable is primarily driven by the timing of collections.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order to manage our working capital and operating cash needs, we monitor our cash conversion cycle, defined as days of sales outstanding in accounts receivable plus days of supply in inventory minus days of purchases outstanding in accounts payable, based on a rolling three-month average. Components of our cash conversion cycle are as follows:</w:t>
      </w:r>
    </w:p>
    <w:p>
      <w:pPr>
        <w:pStyle w:val="TextBody"/>
        <w:bidi w:val="0"/>
        <w:spacing w:before="0" w:after="0"/>
        <w:ind w:left="0" w:right="0" w:hanging="0"/>
        <w:jc w:val="left"/>
        <w:rPr/>
      </w:pPr>
      <w:r>
        <w:rPr/>
        <w:t>​</w:t>
      </w:r>
    </w:p>
    <w:tbl>
      <w:tblPr>
        <w:tblW w:w="4654" w:type="dxa"/>
        <w:jc w:val="left"/>
        <w:tblInd w:w="0" w:type="dxa"/>
        <w:tblLayout w:type="fixed"/>
        <w:tblCellMar>
          <w:top w:w="0" w:type="dxa"/>
          <w:left w:w="0" w:type="dxa"/>
          <w:bottom w:w="0" w:type="dxa"/>
          <w:right w:w="0" w:type="dxa"/>
        </w:tblCellMar>
      </w:tblPr>
      <w:tblGrid>
        <w:gridCol w:w="3301"/>
        <w:gridCol w:w="109"/>
        <w:gridCol w:w="109"/>
        <w:gridCol w:w="436"/>
        <w:gridCol w:w="109"/>
        <w:gridCol w:w="109"/>
        <w:gridCol w:w="48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96135" cy="175260"/>
                      <wp:effectExtent l="0" t="0" r="0" b="0"/>
                      <wp:wrapNone/>
                      <wp:docPr id="256" name="Frame256"/>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76860" cy="175260"/>
                      <wp:effectExtent l="0" t="0" r="0" b="0"/>
                      <wp:wrapNone/>
                      <wp:docPr id="259" name="Frame25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05435" cy="175260"/>
                      <wp:effectExtent l="0" t="0" r="0" b="0"/>
                      <wp:wrapNone/>
                      <wp:docPr id="262" name="Frame26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days)</w:t>
            </w:r>
          </w:p>
        </w:tc>
        <w:tc>
          <w:tcPr>
            <w:tcW w:w="109" w:type="dxa"/>
            <w:tcBorders/>
            <w:vAlign w:val="center"/>
          </w:tcPr>
          <w:p>
            <w:pPr>
              <w:pStyle w:val="TableContents"/>
              <w:bidi w:val="0"/>
              <w:spacing w:before="0" w:after="0"/>
              <w:ind w:left="0" w:right="0" w:hanging="0"/>
              <w:jc w:val="left"/>
              <w:rPr/>
            </w:pPr>
            <w:r>
              <w:rPr/>
              <w:t>​</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Days of sales outstanding (DSO)</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3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Days of supply in inventory (DIO)</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3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Days of purchases outstanding (DPO)</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conversion cycle</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0"/>
              <w:ind w:left="0" w:right="0" w:hanging="0"/>
              <w:jc w:val="righ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trade receivable at the end of the quarter divided by average daily net sales for the same three-month period.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inventory balance at the end of the quarter divided by average daily cost of sales for the same three-month period.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accounts payable balance at the end of the quarter divided by average daily cost of sales for the same three-month period.</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cash conversion cycle decreased to 46 days at March 31, 2026, compared to 53 days at March 31, 2025, as evidenced in the above cash conversion table. The increase in DSO is primarily due to the increase in trade receivables as of March 31, 2026 compared to March 31, 2025. The increase in DIO is primarily due to the increase in inventory as of March 31, 2026 compared to March 31, 2025. The increase in DPO is primarily due to the increase in accounts payable as of March 31, 2026 compared to March 31, 2025.</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Arial Unicode MS" w:hAnsi="Arial Unicode MS"/>
          <w:sz w:val="18"/>
        </w:rPr>
      </w:pPr>
      <w:r>
        <w:rPr>
          <w:rFonts w:ascii="Times New Roman;Times;serif" w:hAnsi="Times New Roman;Times;serif"/>
          <w:i/>
          <w:sz w:val="20"/>
        </w:rPr>
        <w:t>Cash (used in) provided by investing activities</w:t>
      </w:r>
      <w:r>
        <w:rPr>
          <w:rFonts w:ascii="Arial Unicode MS" w:hAnsi="Arial Unicode MS"/>
          <w:sz w:val="18"/>
        </w:rPr>
        <w:t xml:space="preserve"> </w:t>
      </w:r>
      <w:r>
        <w:rPr>
          <w:rFonts w:ascii="Times New Roman;Times;serif" w:hAnsi="Times New Roman;Times;serif"/>
          <w:sz w:val="20"/>
        </w:rPr>
        <w:t>for the three months ended March 31, 2026 consisted of $54.3 million of purchases of</w:t>
      </w:r>
      <w:r>
        <w:rPr>
          <w:rFonts w:ascii="Arial Unicode MS" w:hAnsi="Arial Unicode MS"/>
          <w:sz w:val="18"/>
        </w:rPr>
        <w:t xml:space="preserve"> </w:t>
      </w:r>
      <w:r>
        <w:rPr>
          <w:rFonts w:ascii="Times New Roman;Times;serif" w:hAnsi="Times New Roman;Times;serif"/>
          <w:sz w:val="20"/>
        </w:rPr>
        <w:t>U.S. Government treasury securities, $53.2 million of maturities of U.S. Government treasury securities, and $2.0 million of purchases of property and equipment. The property and equipment expenditures were primarily for computer equipment and capitalized internally developed software in connection with investments in our IT infrastructure. In the prior year period, investing activities consisted of $52.4 million of purchases of</w:t>
      </w:r>
      <w:r>
        <w:rPr>
          <w:rFonts w:ascii="Arial Unicode MS" w:hAnsi="Arial Unicode MS"/>
          <w:sz w:val="18"/>
        </w:rPr>
        <w:t xml:space="preserve"> </w:t>
      </w:r>
      <w:r>
        <w:rPr>
          <w:rFonts w:ascii="Times New Roman;Times;serif" w:hAnsi="Times New Roman;Times;serif"/>
          <w:sz w:val="20"/>
        </w:rPr>
        <w:t>U.S. Government treasury securities, $108.8 million of sales of</w:t>
      </w:r>
      <w:r>
        <w:rPr>
          <w:rFonts w:ascii="Arial Unicode MS" w:hAnsi="Arial Unicode MS"/>
          <w:sz w:val="18"/>
        </w:rPr>
        <w:t xml:space="preserve"> </w:t>
      </w:r>
      <w:r>
        <w:rPr>
          <w:rFonts w:ascii="Times New Roman;Times;serif" w:hAnsi="Times New Roman;Times;serif"/>
          <w:sz w:val="20"/>
        </w:rPr>
        <w:t xml:space="preserve">U.S. Government treasury securities, $50.0 million of maturities of U.S. Government treasury securities, and $1.7 million of purchases of property and equipment. </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Arial Unicode MS" w:hAnsi="Arial Unicode MS"/>
          <w:sz w:val="18"/>
        </w:rPr>
      </w:pPr>
      <w:r>
        <w:rPr>
          <w:rFonts w:ascii="Times New Roman;Times;serif" w:hAnsi="Times New Roman;Times;serif"/>
          <w:i/>
          <w:sz w:val="20"/>
        </w:rPr>
        <w:t>Cash used in financing activities</w:t>
      </w:r>
      <w:r>
        <w:rPr>
          <w:rFonts w:ascii="Arial Unicode MS" w:hAnsi="Arial Unicode MS"/>
          <w:sz w:val="18"/>
        </w:rPr>
        <w:t xml:space="preserve"> </w:t>
      </w:r>
      <w:r>
        <w:rPr>
          <w:rFonts w:ascii="Times New Roman;Times;serif" w:hAnsi="Times New Roman;Times;serif"/>
          <w:sz w:val="20"/>
        </w:rPr>
        <w:t>for the three months ended March 31, 2026 consisted of $5.0 million of dividend payments, $2.5 million of treasury purchases, and $0.7 million of payments of payroll taxes on stock-based compensation through shares withheld. In the prior year period, financing activities consisted of $0.7 million of aggregate borrowings and repayments, $43.7 million of treasury purchases, $3.9 million of dividend payments, and $0.5 million of payments of payroll taxes on stock-based compensation through shares withheld.</w:t>
      </w:r>
    </w:p>
    <w:p>
      <w:pPr>
        <w:pStyle w:val="TextBody"/>
        <w:bidi w:val="0"/>
        <w:spacing w:before="100" w:after="10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Contractual Agreements</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Below is a summary of our contractual obligations. For more information about our obligations, commitments, and contingencies, see our condensed consolidated financial statements and the accompanying notes included in this Quarterly Report on Form 10-Q.</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Supplier Finance Programs.</w:t>
      </w:r>
      <w:r>
        <w:rPr>
          <w:rFonts w:ascii="Times New Roman;Times;serif" w:hAnsi="Times New Roman;Times;serif"/>
          <w:sz w:val="20"/>
        </w:rPr>
        <w:t xml:space="preserve"> We have entered into agreements with financial institutions to facilitate the purchase of inventory from designated suppliers under certain terms and conditions to enhance liquidity. We do not incur any interest or other incremental expenses associated with these agreements as balances are paid when they are due. See “Note 10 “Supplier Finance Programs” of our Unaudited Condensed Consolidated Financial Statements for additional information.</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Operating Leases.</w:t>
      </w:r>
      <w:r>
        <w:rPr>
          <w:rFonts w:ascii="Times New Roman;Times;serif" w:hAnsi="Times New Roman;Times;serif"/>
          <w:sz w:val="20"/>
        </w:rPr>
        <w:t xml:space="preserve"> We lease facilities, including our corporate headquarters and a facility adjacent to our corporate headquarters, from a related party, which is a company affiliated with us through common ownership. The lease agreements of these two Merrimack, New Hampshire facilities have expired. We continue to occupy the facilities on a month-to-month basis under the terms of the prior written lease agreements. It is our intention to enter into a written, long-term lease for the facilities. We also lease facilities from third parties under non-cancelable operating leases.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leases require us to pay real estate taxes, insurance, and common area maintenance charges. See “Item 2. Properties” in our Annual Report on Form 10-K for the year ended December 31, 2025 for additional information regarding our operating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Factors Affecting Sources of Liquidity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Arial Unicode MS" w:hAnsi="Arial Unicode MS"/>
          <w:sz w:val="18"/>
        </w:rPr>
      </w:pPr>
      <w:r>
        <w:rPr>
          <w:rFonts w:ascii="Times New Roman;Times;serif" w:hAnsi="Times New Roman;Times;serif"/>
          <w:i/>
          <w:sz w:val="20"/>
        </w:rPr>
        <w:t xml:space="preserve">Internally Generated Funds. </w:t>
      </w:r>
      <w:r>
        <w:rPr>
          <w:rFonts w:ascii="Times New Roman;Times;serif" w:hAnsi="Times New Roman;Times;serif"/>
          <w:sz w:val="20"/>
        </w:rPr>
        <w:t xml:space="preserve">The key factors affecting our internally generated funds are our ability to manage costs and fully achieve our operating efficiencies, timely collection of our customer receivables, and management of our inventory levels. </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Capital Markets. </w:t>
      </w:r>
      <w:r>
        <w:rPr>
          <w:rFonts w:ascii="Times New Roman;Times;serif" w:hAnsi="Times New Roman;Times;serif"/>
          <w:sz w:val="20"/>
        </w:rPr>
        <w:t>Our ability to raise additional funds in the capital market depends upon, among other things, general economic conditions, the condition of the IT industry, our financial performance and stock price, and the state of the capital markets. In addition, market volatility, inflation and interest rate fluctuations may increase our cost of financing or restrict our access to potential sources of future liquidity.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 OF CRITICAL ACCOUNTING POLICIES AND ESTIMATES</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critical accounting policies and estimates have not materially changed from those discussed in our Annual Report on Form 10-K for the year ended December 31, 2025.</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RECENTLY ISSUED FINANCIAL ACCOUNTING STANDARDS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Recently issued financial accounting standards are detailed in Note 1 “Basis of Presentation,” in the Notes to our Unaudited Condensed Consolidated Financial Statements included in Part I, Item 1 of this Quarterly Report on Form 10-Q.</w:t>
      </w:r>
    </w:p>
    <w:p>
      <w:pPr>
        <w:pStyle w:val="TextBody"/>
        <w:bidi w:val="0"/>
        <w:spacing w:lineRule="auto" w:line="307"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950" w:name="ITEM3QuantitativeAndQualitativeDisclose"/>
      <w:bookmarkStart w:id="951" w:name="_9c0aafca_8ba5_4a1e_86ff_9b31d39d9238"/>
      <w:bookmarkEnd w:id="950"/>
      <w:bookmarkEnd w:id="951"/>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a description of our market risks, see Item 7A. “Quantitative and Qualitative Disclosures About Market Risk” in our Annual Report on Form 10-K for the year ended December 31, 2025. No material changes related to our market risks have occurred since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52" w:name="Item4ControlsAndProcedures"/>
      <w:bookmarkStart w:id="953" w:name="_597463d9_2c9f_4800_b71d_7762749c1ec0"/>
      <w:bookmarkEnd w:id="952"/>
      <w:bookmarkEnd w:id="953"/>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(our principal executive officer) and Chief Financial Officer (our principal financial officer), evaluated the effectiveness of our disclosure controls and procedures as of March 31, 2026. The term “disclosure controls and procedures,” as defined in Rules 13a-15(e) and 15d-15(e) promulgated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this evaluation, our Chief Executive Officer and Chief Financial Officer concluded that, as of the end of the period covered by this report, our disclosure controls and procedures were effective at the reasonable assurance level.</w:t>
      </w:r>
    </w:p>
    <w:p>
      <w:pPr>
        <w:pStyle w:val="TextBody"/>
        <w:bidi w:val="0"/>
        <w:spacing w:before="100" w:after="1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that occurred during the fiscal quarter ended March 31,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 Unicode MS" w:hAnsi="Arial Unicode MS"/>
          <w:sz w:val="18"/>
        </w:rPr>
      </w:pPr>
      <w:bookmarkStart w:id="954" w:name="PARTIIOTHERINFORMATION_688893"/>
      <w:bookmarkStart w:id="955" w:name="_f16ec1ab_0b9a_4d0e_a5d2_07a4307440a8"/>
      <w:bookmarkEnd w:id="954"/>
      <w:bookmarkEnd w:id="955"/>
      <w:r>
        <w:rPr>
          <w:rFonts w:ascii="Times New Roman;Times;serif" w:hAnsi="Times New Roman;Times;serif"/>
          <w:b/>
          <w:sz w:val="20"/>
        </w:rPr>
        <w:t xml:space="preserve">PART II </w:t>
      </w:r>
      <w:r>
        <w:rPr>
          <w:rFonts w:ascii="Arial Unicode MS" w:hAnsi="Arial Unicode MS"/>
          <w:sz w:val="18"/>
        </w:rPr>
        <w:t xml:space="preserve">― </w:t>
      </w:r>
      <w:r>
        <w:rPr>
          <w:rFonts w:ascii="Times New Roman;Times;serif" w:hAnsi="Times New Roman;Times;serif"/>
          <w:b/>
          <w:sz w:val="20"/>
        </w:rPr>
        <w:t>OTHER INFORMATION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956" w:name="Item1LegalProceedings_246334"/>
      <w:bookmarkEnd w:id="956"/>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Arial Unicode MS" w:hAnsi="Arial Unicode MS"/>
          <w:sz w:val="18"/>
        </w:rPr>
      </w:pPr>
      <w:r>
        <w:rPr>
          <w:rFonts w:ascii="Times New Roman;Times;serif" w:hAnsi="Times New Roman;Times;serif"/>
          <w:sz w:val="20"/>
        </w:rPr>
        <w:t>For information related to legal proceedings, see the discussion in Note 8 “Commitments and Contingencies” in the Notes to our Unaudited Condensed Consolidated Financial Statements included in Part I, Item 1 of this Quarterly Report</w:t>
      </w:r>
      <w:r>
        <w:rPr>
          <w:rFonts w:ascii="Arial Unicode MS" w:hAnsi="Arial Unicode MS"/>
          <w:sz w:val="18"/>
        </w:rPr>
        <w:t xml:space="preserve"> </w:t>
      </w:r>
      <w:r>
        <w:rPr>
          <w:rFonts w:ascii="Times New Roman;Times;serif" w:hAnsi="Times New Roman;Times;serif"/>
          <w:sz w:val="20"/>
        </w:rPr>
        <w:t>on Form 10-Q, which information is incorporated by reference into this Part II, Item 1.</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957" w:name="Item1ARiskFactors_403281"/>
      <w:bookmarkStart w:id="958" w:name="_73c62c2e_5824_4f2f_b58d_e3420c88e66b"/>
      <w:bookmarkEnd w:id="957"/>
      <w:bookmarkEnd w:id="958"/>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to the other information set forth in this Quarterly Report on Form 10-Q, you should carefully consider Item 1A. “Risk Factors” in our Annual Report on Form 10-K for the year ended December 31, 2025, which could materially affect our business, financial position, and results of operations. Risk factors which could cause actual results to differ materially from those suggested by forward-looking statements include but are not limited to those discussed or identified in this document, in our other public filings with the SEC, and those contained in Item 1A. “Risk Factors” in our Annual Report on Form 10-K for the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59" w:name="Item2Part2UnregisteredSalesOfEquitySecur"/>
      <w:bookmarkStart w:id="960" w:name="_b7ffb5fa_2eef_4097_90f8_1ec87e221522"/>
      <w:bookmarkEnd w:id="959"/>
      <w:bookmarkEnd w:id="960"/>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Repurchases under our stock repurchase program are made from time to time at management’s discretion in accordance with applicable federal securities laws. All repurchases of our common stock have been recorded as treasury stock. The following table summarizes information relating to purchases of common stock made by or on our behalf during the quarter ended March 31, 2026 (dollars in thousands, except per share data):</w:t>
      </w:r>
    </w:p>
    <w:p>
      <w:pPr>
        <w:pStyle w:val="TextBody"/>
        <w:bidi w:val="0"/>
        <w:spacing w:before="0" w:after="0"/>
        <w:ind w:left="0" w:right="0" w:hanging="0"/>
        <w:jc w:val="left"/>
        <w:rPr/>
      </w:pPr>
      <w:r>
        <w:rPr/>
        <w:t>​</w:t>
      </w:r>
    </w:p>
    <w:tbl>
      <w:tblPr>
        <w:tblW w:w="9382" w:type="dxa"/>
        <w:jc w:val="left"/>
        <w:tblInd w:w="0" w:type="dxa"/>
        <w:tblLayout w:type="fixed"/>
        <w:tblCellMar>
          <w:top w:w="0" w:type="dxa"/>
          <w:left w:w="0" w:type="dxa"/>
          <w:bottom w:w="0" w:type="dxa"/>
          <w:right w:w="0" w:type="dxa"/>
        </w:tblCellMar>
      </w:tblPr>
      <w:tblGrid>
        <w:gridCol w:w="1681"/>
        <w:gridCol w:w="346"/>
        <w:gridCol w:w="1126"/>
        <w:gridCol w:w="346"/>
        <w:gridCol w:w="409"/>
        <w:gridCol w:w="1106"/>
        <w:gridCol w:w="346"/>
        <w:gridCol w:w="1576"/>
        <w:gridCol w:w="346"/>
        <w:gridCol w:w="612"/>
        <w:gridCol w:w="1488"/>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067435" cy="175260"/>
                      <wp:effectExtent l="0" t="0" r="0" b="0"/>
                      <wp:wrapNone/>
                      <wp:docPr id="263" name="Frame26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15010" cy="175260"/>
                      <wp:effectExtent l="0" t="0" r="0" b="0"/>
                      <wp:wrapNone/>
                      <wp:docPr id="265" name="Frame26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59715" cy="175260"/>
                      <wp:effectExtent l="0" t="0" r="0" b="0"/>
                      <wp:wrapNone/>
                      <wp:docPr id="267" name="Frame267"/>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702310" cy="175260"/>
                      <wp:effectExtent l="0" t="0" r="0" b="0"/>
                      <wp:wrapNone/>
                      <wp:docPr id="268" name="Frame268"/>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000760" cy="175260"/>
                      <wp:effectExtent l="0" t="0" r="0" b="0"/>
                      <wp:wrapNone/>
                      <wp:docPr id="270" name="Frame270"/>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88620" cy="175260"/>
                      <wp:effectExtent l="0" t="0" r="0" b="0"/>
                      <wp:wrapNone/>
                      <wp:docPr id="272" name="Frame272"/>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944880" cy="175260"/>
                      <wp:effectExtent l="0" t="0" r="0" b="0"/>
                      <wp:wrapNone/>
                      <wp:docPr id="273" name="Frame273"/>
                      <a:graphic xmlns:a="http://schemas.openxmlformats.org/drawingml/2006/main">
                        <a:graphicData uri="http://schemas.microsoft.com/office/word/2010/wordprocessingShape">
                          <wps:wsp>
                            <wps:cNvSpPr txBox="1"/>
                            <wps:spPr>
                              <a:xfrm>
                                <a:off x="0" y="0"/>
                                <a:ext cx="944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8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Issuer Purchases of Equity Securities</w:t>
            </w:r>
          </w:p>
        </w:tc>
      </w:tr>
      <w:tr>
        <w:trPr/>
        <w:tc>
          <w:tcPr>
            <w:tcW w:w="16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09" w:type="dxa"/>
            <w:tcBorders/>
            <w:vAlign w:val="center"/>
          </w:tcPr>
          <w:p>
            <w:pPr>
              <w:pStyle w:val="TableContents"/>
              <w:bidi w:val="0"/>
              <w:spacing w:before="0" w:after="0"/>
              <w:ind w:left="0" w:right="0" w:hanging="0"/>
              <w:jc w:val="center"/>
              <w:rPr/>
            </w:pPr>
            <w:r>
              <w:rPr/>
              <w:t>​</w:t>
            </w:r>
          </w:p>
        </w:tc>
        <w:tc>
          <w:tcPr>
            <w:tcW w:w="11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center"/>
              <w:rPr/>
            </w:pPr>
            <w:r>
              <w:rPr/>
              <w:t>​</w:t>
            </w:r>
          </w:p>
        </w:tc>
        <w:tc>
          <w:tcPr>
            <w:tcW w:w="2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Dollar Value</w:t>
            </w:r>
          </w:p>
        </w:tc>
      </w:tr>
      <w:tr>
        <w:trPr/>
        <w:tc>
          <w:tcPr>
            <w:tcW w:w="16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1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346" w:type="dxa"/>
            <w:tcBorders/>
            <w:vAlign w:val="center"/>
          </w:tcPr>
          <w:p>
            <w:pPr>
              <w:pStyle w:val="TableContents"/>
              <w:bidi w:val="0"/>
              <w:spacing w:before="0" w:after="0"/>
              <w:ind w:left="0" w:right="0" w:hanging="0"/>
              <w:jc w:val="center"/>
              <w:rPr/>
            </w:pPr>
            <w:r>
              <w:rPr/>
              <w:t>​</w:t>
            </w:r>
          </w:p>
        </w:tc>
        <w:tc>
          <w:tcPr>
            <w:tcW w:w="2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 Yet Be</w:t>
            </w:r>
          </w:p>
        </w:tc>
      </w:tr>
      <w:tr>
        <w:trPr/>
        <w:tc>
          <w:tcPr>
            <w:tcW w:w="16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w:t>
            </w:r>
          </w:p>
        </w:tc>
        <w:tc>
          <w:tcPr>
            <w:tcW w:w="346" w:type="dxa"/>
            <w:tcBorders/>
            <w:vAlign w:val="center"/>
          </w:tcPr>
          <w:p>
            <w:pPr>
              <w:pStyle w:val="TableContents"/>
              <w:bidi w:val="0"/>
              <w:spacing w:before="0" w:after="0"/>
              <w:ind w:left="0" w:right="0" w:hanging="0"/>
              <w:jc w:val="center"/>
              <w:rPr/>
            </w:pPr>
            <w:r>
              <w:rPr/>
              <w:t>​</w:t>
            </w:r>
          </w:p>
        </w:tc>
        <w:tc>
          <w:tcPr>
            <w:tcW w:w="151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346" w:type="dxa"/>
            <w:tcBorders/>
            <w:vAlign w:val="center"/>
          </w:tcPr>
          <w:p>
            <w:pPr>
              <w:pStyle w:val="TableContents"/>
              <w:bidi w:val="0"/>
              <w:spacing w:before="0" w:after="0"/>
              <w:ind w:left="0" w:right="0" w:hanging="0"/>
              <w:jc w:val="center"/>
              <w:rPr/>
            </w:pPr>
            <w:r>
              <w:rPr/>
              <w:t>​</w:t>
            </w:r>
          </w:p>
        </w:tc>
        <w:tc>
          <w:tcPr>
            <w:tcW w:w="2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 the Plans</w:t>
            </w:r>
          </w:p>
        </w:tc>
      </w:tr>
      <w:tr>
        <w:trPr/>
        <w:tc>
          <w:tcPr>
            <w:tcW w:w="16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0"/>
              <w:ind w:left="0" w:right="0" w:hanging="0"/>
              <w:jc w:val="center"/>
              <w:rPr/>
            </w:pPr>
            <w:r>
              <w:rPr/>
              <w:t>​</w:t>
            </w:r>
          </w:p>
        </w:tc>
        <w:tc>
          <w:tcPr>
            <w:tcW w:w="15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Paid</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w:t>
            </w:r>
          </w:p>
        </w:tc>
        <w:tc>
          <w:tcPr>
            <w:tcW w:w="346" w:type="dxa"/>
            <w:tcBorders/>
            <w:vAlign w:val="center"/>
          </w:tcPr>
          <w:p>
            <w:pPr>
              <w:pStyle w:val="TableContents"/>
              <w:bidi w:val="0"/>
              <w:spacing w:before="0" w:after="0"/>
              <w:ind w:left="0" w:right="0" w:hanging="0"/>
              <w:jc w:val="center"/>
              <w:rPr/>
            </w:pPr>
            <w:r>
              <w:rPr/>
              <w:t>​</w:t>
            </w:r>
          </w:p>
        </w:tc>
        <w:tc>
          <w:tcPr>
            <w:tcW w:w="2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Programs</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Purchased </w:t>
            </w:r>
          </w:p>
        </w:tc>
        <w:tc>
          <w:tcPr>
            <w:tcW w:w="346" w:type="dxa"/>
            <w:tcBorders/>
            <w:vAlign w:val="center"/>
          </w:tcPr>
          <w:p>
            <w:pPr>
              <w:pStyle w:val="TableContents"/>
              <w:bidi w:val="0"/>
              <w:spacing w:before="0" w:after="0"/>
              <w:ind w:left="0" w:right="0" w:hanging="0"/>
              <w:jc w:val="center"/>
              <w:rPr/>
            </w:pPr>
            <w:r>
              <w:rPr/>
              <w:t>  ​ ​ ​</w:t>
            </w:r>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0"/>
              <w:ind w:left="0" w:right="0" w:hanging="0"/>
              <w:jc w:val="center"/>
              <w:rPr/>
            </w:pPr>
            <w:r>
              <w:rPr/>
              <w:t>  ​ ​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 (1)</w:t>
            </w:r>
          </w:p>
        </w:tc>
        <w:tc>
          <w:tcPr>
            <w:tcW w:w="346" w:type="dxa"/>
            <w:tcBorders/>
            <w:vAlign w:val="center"/>
          </w:tcPr>
          <w:p>
            <w:pPr>
              <w:pStyle w:val="TableContents"/>
              <w:bidi w:val="0"/>
              <w:spacing w:before="0" w:after="0"/>
              <w:ind w:left="0" w:right="0" w:hanging="0"/>
              <w:jc w:val="center"/>
              <w:rPr/>
            </w:pPr>
            <w:r>
              <w:rPr/>
              <w:t>  ​ ​ ​</w:t>
            </w:r>
          </w:p>
        </w:tc>
        <w:tc>
          <w:tcPr>
            <w:tcW w:w="2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 (1)(2)</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01/01/26-01/31/26</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40,630</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57.64</w:t>
            </w:r>
          </w:p>
        </w:tc>
        <w:tc>
          <w:tcPr>
            <w:tcW w:w="346"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40,630</w:t>
            </w:r>
          </w:p>
        </w:tc>
        <w:tc>
          <w:tcPr>
            <w:tcW w:w="346"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02/01/26-02/28/26</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c>
          <w:tcPr>
            <w:tcW w:w="34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59.32</w:t>
            </w:r>
          </w:p>
        </w:tc>
        <w:tc>
          <w:tcPr>
            <w:tcW w:w="3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c>
          <w:tcPr>
            <w:tcW w:w="346"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03/01/26-03/31/26</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41,987</w:t>
            </w:r>
          </w:p>
        </w:tc>
        <w:tc>
          <w:tcPr>
            <w:tcW w:w="34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57.70</w:t>
            </w:r>
          </w:p>
        </w:tc>
        <w:tc>
          <w:tcPr>
            <w:tcW w:w="346" w:type="dxa"/>
            <w:tcBorders/>
            <w:vAlign w:val="center"/>
          </w:tcPr>
          <w:p>
            <w:pPr>
              <w:pStyle w:val="TableContents"/>
              <w:bidi w:val="0"/>
              <w:spacing w:before="0" w:after="0"/>
              <w:ind w:left="0" w:right="0" w:hanging="0"/>
              <w:jc w:val="left"/>
              <w:rPr/>
            </w:pPr>
            <w:r>
              <w:rPr/>
              <w:t>​</w:t>
            </w:r>
          </w:p>
        </w:tc>
        <w:tc>
          <w:tcPr>
            <w:tcW w:w="15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41,987</w:t>
            </w:r>
          </w:p>
        </w:tc>
        <w:tc>
          <w:tcPr>
            <w:tcW w:w="346"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left"/>
              <w:rPr/>
            </w:pPr>
            <w:r>
              <w:rPr/>
              <w:t>​</w:t>
            </w:r>
          </w:p>
        </w:tc>
        <w:tc>
          <w:tcPr>
            <w:tcW w:w="148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repurchased in aggregate approximately 4.2 million shares of our common stock for approximately $138.8 million pursuant to the repurchase program approved by our Board of Directors.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0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2001, we announced that our Board of Directors authorized the spending of up to $15.0 million to repurchase shares of our common stock. On each of February 11, 2014, December 17, 2018, November 22, 2022, May 1, 2024, April 30, 2025, and February 4, 2026, our Board of Directors approved increases of $15.0 million, $25.0 million, $25.0 million, $40.0 million, $50.0 million, and $50.0 million, respectively, to the repurchase program bringing the aggregate authorized amount under the repurchase program to $220.0 million. There is no fixed termination date for this repurchase program. Purchases may be made in open-market transactions, block transactions on or off an exchange, or in privately negotiated transactions. The timing and amount of any share repurchases will be based on market conditions and other factors.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961" w:name="Item5OtherInformation"/>
      <w:bookmarkStart w:id="962" w:name="_66296e00_d64b_4b9d_9485_46fdb9b37304"/>
      <w:bookmarkEnd w:id="961"/>
      <w:bookmarkEnd w:id="962"/>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 and Officer Trading Arrangements</w:t>
      </w:r>
    </w:p>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9, 2026, Patricia Gallup, the Chief Administrative Officer of the Company and the Chair of the Board of Directors, adopted a Rule 10b5-1 trading agreement for the sale of securities of the Company’s common stock that is intended to satisfy the affirmative defense conditions of Rule 10b5-1(c). Ms. Gallup’s Rule 10b5-1 trading agreement, which has a term until December 17, 2026, provides for the sale of up to 200,000 shares of common stock pursuant to the terms of the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 of our other directors or officers (as defined in Exchange Act Rule 16a-1(f)) adopted or terminated a Rule 10b5-1 trading agreement or a non-Rule 10b5-1 trading agreement (as each term is defined in Item 408(c) of Regulation S-K) during the first quarter of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963" w:name="Item6Exhibits_46108"/>
      <w:bookmarkStart w:id="964" w:name="_8aced2c9_29a5_4714_94a0_59d40799719e"/>
      <w:bookmarkEnd w:id="963"/>
      <w:bookmarkEnd w:id="964"/>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3"/>
        <w:gridCol w:w="211"/>
        <w:gridCol w:w="109"/>
        <w:gridCol w:w="9182"/>
      </w:tblGrid>
      <w:tr>
        <w:trPr/>
        <w:tc>
          <w:tcPr>
            <w:tcW w:w="70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91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w:t>
              <w:br/>
              <w:t>Number</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PC Connection, Inc., as amended (incorporated by reference to Exhibit 3.1 to the Company’s registration statement on Form S-4 (333-63272) filed on June 19, 2001)</w:t>
              </w:r>
            </w:hyperlink>
            <w:r>
              <w:rPr>
                <w:rFonts w:ascii="Times New Roman;Times;serif" w:hAnsi="Times New Roman;Times;serif"/>
                <w:sz w:val="20"/>
              </w:rPr>
              <w: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of PC Connection, Inc. (incorporated by reference to Exhibit 3.1 to the Company’s current report on Form 8-K, filed on January 9, 2008).</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w:anchor="cnxn-20260331xex10d1.htm">
              <w:r>
                <w:rPr>
                  <w:rStyle w:val="InternetLink"/>
                  <w:rFonts w:ascii="Times New Roman;Times;serif" w:hAnsi="Times New Roman;Times;serif"/>
                  <w:b w:val="false"/>
                  <w:i w:val="false"/>
                  <w:caps w:val="false"/>
                  <w:smallCaps w:val="false"/>
                  <w:sz w:val="20"/>
                </w:rPr>
                <w:t>Director Compensation and Executive Bonus Plan, as amended.</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w:anchor="cnxn-20260331xex10d2.htm">
              <w:r>
                <w:rPr>
                  <w:rStyle w:val="InternetLink"/>
                  <w:rFonts w:ascii="Times New Roman;Times;serif" w:hAnsi="Times New Roman;Times;serif"/>
                  <w:sz w:val="20"/>
                </w:rPr>
                <w:t>Amendment No. 3, dated January 22, 2026, to Lease Agreement between the Registrant and Wilmington</w:t>
              </w:r>
            </w:hyperlink>
          </w:p>
          <w:p>
            <w:pPr>
              <w:pStyle w:val="TableContents"/>
              <w:bidi w:val="0"/>
              <w:spacing w:before="0" w:after="0"/>
              <w:ind w:left="0" w:right="0" w:hanging="0"/>
              <w:jc w:val="left"/>
              <w:rPr/>
            </w:pPr>
            <w:hyperlink w:anchor="cnxn-20260331xex10d2.htm">
              <w:r>
                <w:rPr>
                  <w:rStyle w:val="InternetLink"/>
                  <w:rFonts w:ascii="Times New Roman;Times;serif" w:hAnsi="Times New Roman;Times;serif"/>
                  <w:sz w:val="20"/>
                </w:rPr>
                <w:t>Investors, LLC, dated August 27, 2014, for property located at 3336 Progress Way, Building 11,</w:t>
              </w:r>
            </w:hyperlink>
          </w:p>
          <w:p>
            <w:pPr>
              <w:pStyle w:val="TableContents"/>
              <w:bidi w:val="0"/>
              <w:spacing w:before="0" w:after="0"/>
              <w:ind w:left="0" w:right="0" w:hanging="0"/>
              <w:jc w:val="left"/>
              <w:rPr/>
            </w:pPr>
            <w:hyperlink w:anchor="cnxn-20260331xex10d2.htm">
              <w:r>
                <w:rPr>
                  <w:rStyle w:val="InternetLink"/>
                  <w:rFonts w:ascii="Times New Roman;Times;serif" w:hAnsi="Times New Roman;Times;serif"/>
                  <w:sz w:val="20"/>
                </w:rPr>
                <w:t>Wilmington, OH.</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w:anchor="cnxn-20260331xex10d3.htm">
              <w:r>
                <w:rPr>
                  <w:rStyle w:val="InternetLink"/>
                  <w:rFonts w:ascii="Times New Roman;Times;serif" w:hAnsi="Times New Roman;Times;serif"/>
                  <w:sz w:val="20"/>
                </w:rPr>
                <w:t>Amendment No. 4, dated January 26, 2026, to Lease Agreement between the Registrant and Wilmington</w:t>
              </w:r>
            </w:hyperlink>
          </w:p>
          <w:p>
            <w:pPr>
              <w:pStyle w:val="TableContents"/>
              <w:bidi w:val="0"/>
              <w:spacing w:before="0" w:after="0"/>
              <w:ind w:left="0" w:right="0" w:hanging="0"/>
              <w:jc w:val="left"/>
              <w:rPr/>
            </w:pPr>
            <w:hyperlink w:anchor="cnxn-20260331xex10d3.htm">
              <w:r>
                <w:rPr>
                  <w:rStyle w:val="InternetLink"/>
                  <w:rFonts w:ascii="Times New Roman;Times;serif" w:hAnsi="Times New Roman;Times;serif"/>
                  <w:sz w:val="20"/>
                </w:rPr>
                <w:t>Investors, LLC, dated August 27, 2014, for property located at 3336 Progress Way, Building 11,</w:t>
              </w:r>
            </w:hyperlink>
          </w:p>
          <w:p>
            <w:pPr>
              <w:pStyle w:val="TableContents"/>
              <w:bidi w:val="0"/>
              <w:spacing w:before="0" w:after="0"/>
              <w:ind w:left="0" w:right="0" w:hanging="0"/>
              <w:jc w:val="left"/>
              <w:rPr/>
            </w:pPr>
            <w:hyperlink w:anchor="cnxn-20260331xex10d3.htm">
              <w:r>
                <w:rPr>
                  <w:rStyle w:val="InternetLink"/>
                  <w:rFonts w:ascii="Times New Roman;Times;serif" w:hAnsi="Times New Roman;Times;serif"/>
                  <w:sz w:val="20"/>
                </w:rPr>
                <w:t>Wilmington, OH.</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w:anchor="cnxn-20260331xex31d1.htm">
              <w:r>
                <w:rPr>
                  <w:rStyle w:val="InternetLink"/>
                  <w:rFonts w:ascii="Times New Roman;Times;serif" w:hAnsi="Times New Roman;Times;serif"/>
                  <w:b w:val="false"/>
                  <w:i w:val="false"/>
                  <w:caps w:val="false"/>
                  <w:smallCaps w:val="false"/>
                  <w:sz w:val="20"/>
                </w:rPr>
                <w:t>Certification of the Company’s President and Chief Executive Officer pursuant to Section 302 of the Sarbanes-Oxley Act of 2002.</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w:anchor="cnxn-20260331xex31d2.htm">
              <w:r>
                <w:rPr>
                  <w:rStyle w:val="InternetLink"/>
                  <w:rFonts w:ascii="Times New Roman;Times;serif" w:hAnsi="Times New Roman;Times;serif"/>
                  <w:b w:val="false"/>
                  <w:i w:val="false"/>
                  <w:caps w:val="false"/>
                  <w:smallCaps w:val="false"/>
                  <w:sz w:val="20"/>
                </w:rPr>
                <w:t>Certification of the Company’s Senior Vice President and Chief Financial Officer pursuant to Section 302 of the Sarbanes-Oxley Act of 2002.</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w:anchor="cnxn-20260331xex32d1.htm">
              <w:r>
                <w:rPr>
                  <w:rStyle w:val="InternetLink"/>
                  <w:rFonts w:ascii="Times New Roman;Times;serif" w:hAnsi="Times New Roman;Times;serif"/>
                  <w:b w:val="false"/>
                  <w:i w:val="false"/>
                  <w:caps w:val="false"/>
                  <w:smallCaps w:val="false"/>
                  <w:sz w:val="20"/>
                </w:rPr>
                <w:t>Certification of the Company’s President and Chief Executive Officer pursuant to 18 U.S.C. Section 1350, as adopted pursuant to Section 906 of the Sarbanes-Oxley Act of 2002.</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w:anchor="cnxn-20260331xex32d2.htm">
              <w:r>
                <w:rPr>
                  <w:rStyle w:val="InternetLink"/>
                  <w:rFonts w:ascii="Times New Roman;Times;serif" w:hAnsi="Times New Roman;Times;serif"/>
                  <w:b w:val="false"/>
                  <w:i w:val="false"/>
                  <w:caps w:val="false"/>
                  <w:smallCaps w:val="false"/>
                  <w:sz w:val="20"/>
                </w:rPr>
                <w:t>Certification of the Company’s Senior Vice President and Chief Financial Officer pursuant to 18 U.S.C. Section 1350, as adopted pursuant to Section 906 of the Sarbanes-Oxley Act of 2002.</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3182" w:type="dxa"/>
        <w:jc w:val="left"/>
        <w:tblInd w:w="0" w:type="dxa"/>
        <w:tblLayout w:type="fixed"/>
        <w:tblCellMar>
          <w:top w:w="0" w:type="dxa"/>
          <w:left w:w="0" w:type="dxa"/>
          <w:bottom w:w="0" w:type="dxa"/>
          <w:right w:w="0" w:type="dxa"/>
        </w:tblCellMar>
      </w:tblPr>
      <w:tblGrid>
        <w:gridCol w:w="226"/>
        <w:gridCol w:w="295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9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Submitted electronically herewith.</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Attached as Exhibit 101 to this report are the following formatted in XBRL (Extensible Business Reporting Language): (i) Condensed Consolidated Balance Sheets at March 31, 2026 and December 31, 2025, (ii) Condensed Consolidated Statements of Income for the three months ended March 31, 2026 and 2025, (iii) Condensed Consolidated Statements of Other Comprehensive Income for the three months ended March 31, 2026 and 2025, (iv) Condensed Consolidated Statements of Stockholders’ Equity for the three months ended March 31, 2026 and 2025, (v) Condensed Consolidated Statements of Cash Flows for the three months ended March 31, 2026 and 2025, and (vi) Notes to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360"/>
        <w:ind w:left="0" w:right="0" w:hanging="0"/>
        <w:jc w:val="center"/>
        <w:rPr>
          <w:rFonts w:ascii="Times New Roman;Times;serif" w:hAnsi="Times New Roman;Times;serif"/>
          <w:b/>
          <w:sz w:val="20"/>
        </w:rPr>
      </w:pPr>
      <w:bookmarkStart w:id="965" w:name="SIGNATURES_538276"/>
      <w:bookmarkStart w:id="966" w:name="_26a4523c_4307_4e73_a4a2_9af015067af9"/>
      <w:bookmarkEnd w:id="965"/>
      <w:bookmarkEnd w:id="966"/>
      <w:r>
        <w:rPr>
          <w:rFonts w:ascii="Times New Roman;Times;serif" w:hAnsi="Times New Roman;Times;serif"/>
          <w:b/>
          <w:sz w:val="20"/>
        </w:rPr>
        <w:t>SIGNATURES</w:t>
      </w:r>
    </w:p>
    <w:p>
      <w:pPr>
        <w:pStyle w:val="TextBody"/>
        <w:bidi w:val="0"/>
        <w:spacing w:before="0" w:after="36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PC CONNECTION, INC.</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50"/>
        <w:gridCol w:w="1214"/>
        <w:gridCol w:w="109"/>
        <w:gridCol w:w="400"/>
        <w:gridCol w:w="7932"/>
      </w:tblGrid>
      <w:tr>
        <w:trPr/>
        <w:tc>
          <w:tcPr>
            <w:tcW w:w="55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7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036820" cy="175260"/>
                      <wp:effectExtent l="0" t="0" r="0" b="0"/>
                      <wp:wrapNone/>
                      <wp:docPr id="274" name="Frame274"/>
                      <a:graphic xmlns:a="http://schemas.openxmlformats.org/drawingml/2006/main">
                        <a:graphicData uri="http://schemas.microsoft.com/office/word/2010/wordprocessingShape">
                          <wps:wsp>
                            <wps:cNvSpPr txBox="1"/>
                            <wps:spPr>
                              <a:xfrm>
                                <a:off x="0" y="0"/>
                                <a:ext cx="5036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2026</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79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TIMOTHY J. MCGRATH</w:t>
            </w:r>
          </w:p>
        </w:tc>
      </w:tr>
      <w:tr>
        <w:trPr/>
        <w:tc>
          <w:tcPr>
            <w:tcW w:w="550" w:type="dxa"/>
            <w:tcBorders/>
            <w:vAlign w:val="center"/>
          </w:tcPr>
          <w:p>
            <w:pPr>
              <w:pStyle w:val="TableContents"/>
              <w:bidi w:val="0"/>
              <w:spacing w:before="0" w:after="0"/>
              <w:ind w:left="0" w:right="0" w:hanging="0"/>
              <w:jc w:val="both"/>
              <w:rPr/>
            </w:pPr>
            <w:r>
              <w:rPr/>
              <w:t>​</w:t>
            </w:r>
          </w:p>
        </w:tc>
        <w:tc>
          <w:tcPr>
            <w:tcW w:w="12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pPr>
            <w:r>
              <w:rPr/>
              <w:t>​</w:t>
            </w:r>
          </w:p>
        </w:tc>
        <w:tc>
          <w:tcPr>
            <w:tcW w:w="7932"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Timothy J. McGrath</w:t>
            </w:r>
          </w:p>
        </w:tc>
      </w:tr>
      <w:tr>
        <w:trPr/>
        <w:tc>
          <w:tcPr>
            <w:tcW w:w="550" w:type="dxa"/>
            <w:tcBorders/>
            <w:vAlign w:val="center"/>
          </w:tcPr>
          <w:p>
            <w:pPr>
              <w:pStyle w:val="TableContents"/>
              <w:bidi w:val="0"/>
              <w:spacing w:before="0" w:after="0"/>
              <w:ind w:left="0" w:right="0" w:hanging="0"/>
              <w:jc w:val="both"/>
              <w:rPr/>
            </w:pPr>
            <w:r>
              <w:rPr/>
              <w:t>​</w:t>
            </w:r>
          </w:p>
        </w:tc>
        <w:tc>
          <w:tcPr>
            <w:tcW w:w="12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pPr>
            <w:r>
              <w:rPr/>
              <w:t>​</w:t>
            </w:r>
          </w:p>
        </w:tc>
        <w:tc>
          <w:tcPr>
            <w:tcW w:w="79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(Duly Authorized Officer)</w:t>
            </w:r>
          </w:p>
        </w:tc>
      </w:tr>
      <w:tr>
        <w:trPr/>
        <w:tc>
          <w:tcPr>
            <w:tcW w:w="550" w:type="dxa"/>
            <w:tcBorders/>
            <w:vAlign w:val="center"/>
          </w:tcPr>
          <w:p>
            <w:pPr>
              <w:pStyle w:val="TableContents"/>
              <w:bidi w:val="0"/>
              <w:spacing w:before="0" w:after="0"/>
              <w:ind w:left="0" w:right="0" w:hanging="0"/>
              <w:jc w:val="both"/>
              <w:rPr/>
            </w:pPr>
            <w:r>
              <w:rPr/>
              <w:t>​</w:t>
            </w:r>
          </w:p>
        </w:tc>
        <w:tc>
          <w:tcPr>
            <w:tcW w:w="12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pPr>
            <w:r>
              <w:rPr/>
              <w:t>​</w:t>
            </w:r>
          </w:p>
        </w:tc>
        <w:tc>
          <w:tcPr>
            <w:tcW w:w="7932" w:type="dxa"/>
            <w:tcBorders/>
            <w:vAlign w:val="center"/>
          </w:tcPr>
          <w:p>
            <w:pPr>
              <w:pStyle w:val="TableContents"/>
              <w:bidi w:val="0"/>
              <w:spacing w:before="0" w:after="0"/>
              <w:ind w:left="0" w:right="0" w:hanging="0"/>
              <w:jc w:val="left"/>
              <w:rPr/>
            </w:pPr>
            <w:r>
              <w:rPr/>
              <w:t>​</w:t>
            </w:r>
          </w:p>
        </w:tc>
      </w:tr>
      <w:tr>
        <w:trPr/>
        <w:tc>
          <w:tcPr>
            <w:tcW w:w="550"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2026</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79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C. BAKER</w:t>
            </w:r>
          </w:p>
        </w:tc>
      </w:tr>
      <w:tr>
        <w:trPr/>
        <w:tc>
          <w:tcPr>
            <w:tcW w:w="550" w:type="dxa"/>
            <w:tcBorders/>
            <w:vAlign w:val="center"/>
          </w:tcPr>
          <w:p>
            <w:pPr>
              <w:pStyle w:val="TableContents"/>
              <w:bidi w:val="0"/>
              <w:spacing w:before="0" w:after="0"/>
              <w:ind w:left="0" w:right="0" w:hanging="0"/>
              <w:jc w:val="both"/>
              <w:rPr/>
            </w:pPr>
            <w:r>
              <w:rPr/>
              <w:t>​</w:t>
            </w:r>
          </w:p>
        </w:tc>
        <w:tc>
          <w:tcPr>
            <w:tcW w:w="12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pPr>
            <w:r>
              <w:rPr/>
              <w:t>​</w:t>
            </w:r>
          </w:p>
        </w:tc>
        <w:tc>
          <w:tcPr>
            <w:tcW w:w="7932"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Thomas C. Baker</w:t>
            </w:r>
          </w:p>
        </w:tc>
      </w:tr>
      <w:tr>
        <w:trPr/>
        <w:tc>
          <w:tcPr>
            <w:tcW w:w="550" w:type="dxa"/>
            <w:tcBorders/>
            <w:vAlign w:val="center"/>
          </w:tcPr>
          <w:p>
            <w:pPr>
              <w:pStyle w:val="TableContents"/>
              <w:bidi w:val="0"/>
              <w:spacing w:before="0" w:after="0"/>
              <w:ind w:left="0" w:right="0" w:hanging="0"/>
              <w:jc w:val="both"/>
              <w:rPr/>
            </w:pPr>
            <w:r>
              <w:rPr/>
              <w:t>​</w:t>
            </w:r>
          </w:p>
        </w:tc>
        <w:tc>
          <w:tcPr>
            <w:tcW w:w="12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pPr>
            <w:r>
              <w:rPr/>
              <w:t>​</w:t>
            </w:r>
          </w:p>
        </w:tc>
        <w:tc>
          <w:tcPr>
            <w:tcW w:w="79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Senior Vice President, Chief Financial Officer and Treasurer  (Principal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0"/>
        <w:ind w:left="0" w:right="0" w:hanging="0"/>
        <w:jc w:val="right"/>
        <w:rPr>
          <w:rFonts w:ascii="Times New Roman;Times;serif" w:hAnsi="Times New Roman;Times;serif"/>
          <w:b/>
          <w:sz w:val="20"/>
        </w:rPr>
      </w:pPr>
      <w:bookmarkStart w:id="967" w:name="cnxn-20260331xex10d1.htm"/>
      <w:bookmarkStart w:id="968" w:name="kscnxn20260331xex10d1"/>
      <w:bookmarkEnd w:id="967"/>
      <w:bookmarkEnd w:id="968"/>
      <w:r>
        <w:rPr>
          <w:rFonts w:ascii="Times New Roman;Times;serif" w:hAnsi="Times New Roman;Times;serif"/>
          <w:b/>
          <w:sz w:val="20"/>
        </w:rPr>
        <w:t>Exhibit 10.1</w:t>
      </w:r>
      <w:r>
        <w:br w:type="page"/>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Director Compensation</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Each director is entitled to receive an annual retainer of $75,000, payable quarterly, for service on the Board. Each independent director also receives an annual retainer of $20,000, payable quarterly. In addition, Board members who act in a Chair capacity receive annual fees as follows: Board Chair, $35,000; Board Vice-Chair, $45,000; Audit Committee Chair, $10,000; Compensation Committee Chair, $5,000; and sub-committee Chair, $5,000. The Chair and members of the CDC receive fees of $50,000 and $10,000, respectively, for each quarter in which the committee is actively engaged in the process of developing and evaluating strategic alternatives, including the holding of multiple meetings in the quarter.</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Executive Cash Performance Awards</w:t>
      </w:r>
    </w:p>
    <w:p>
      <w:pPr>
        <w:pStyle w:val="TextBody"/>
        <w:bidi w:val="0"/>
        <w:spacing w:lineRule="auto" w:line="331" w:before="0" w:after="160"/>
        <w:ind w:left="0" w:right="0" w:firstLine="36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In 2025, our Board, upon the recommendation of the Compensation Committee, approved the 2025 Cash Performance Awards issued pursuant to the 2020 Stock Incentive Plan. Annual cash performance awards are intended to compensate our executives for the achievement of certain financial performance goals. In 2025, our Board, upon the recommendation of the Compensation Committee, selected company-wide net income and expense leverage goals as the financial performance goals for 2025 with target payments determined based on a percentage of the executive officer's base salary. The Compensation Committee and our Board believe that our success is dependent on the ability of our management group to integrate and work together to meet common company-wide goals. Accordingly, the financial performance goals for 2025 were based on company-wide financial results and not individual goals.</w:t>
      </w:r>
    </w:p>
    <w:p>
      <w:pPr>
        <w:pStyle w:val="TextBody"/>
        <w:bidi w:val="0"/>
        <w:spacing w:lineRule="auto" w:line="331" w:before="0" w:after="160"/>
        <w:ind w:left="0" w:right="0" w:firstLine="36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The target payout amounts under the 2025 Cash Performance Awards were equal to 100% of base salary for our Chief Executive Officer and Chief Financial Officer and 75% of base salary for our Chief Administrative Officer. The 2025 Cash Performance Awards also provided incentives for our executives to reach beyond their target corporate goals. If performance exceeded the financial performance goals, the 2025 Cash Performance Awards provided that the executive officers could receive cash payments of up to 170% of their base salary. Proportionally lower payments could be made under the 2025 Cash Performance Awards for achievement levels between 90% and 100% of the financial performance goals, and no amounts would have been paid where less than 90% of the financial performance goal was achieved. In February 2025, our Board, upon the recommendation of our Compensation Committee, approved the following financial performance goals for the 2025 Cash Performance Awards: (i) an adjusted net income goal of $95.2 million for 2025, reflecting our growth target for the year and (ii) an expense leverage goal to limit 2025 consolidated SG&amp;A expenses as a percentage of billings at 10.26%.</w:t>
      </w:r>
    </w:p>
    <w:p>
      <w:pPr>
        <w:pStyle w:val="TextBody"/>
        <w:bidi w:val="0"/>
        <w:spacing w:lineRule="auto" w:line="331" w:before="0" w:after="160"/>
        <w:ind w:left="0" w:right="0" w:firstLine="36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In 2025, our adjusted net income was $88.1 million and SG&amp;A expense as a percentage of billings was 10.54%. This resulted in 92.6% achievement of the adjusted net income goal, resulting in a payout of 92% of target level for that performance factor, and 97.2% achievement of the SG&amp;A expense as a percentage of billings goal, resulting in a payout of 97% of target level for that performance factor. Accordingly, we paid our named executive officers an aggregate of $1.8 million pursuant to their 2025 Cash Performance Awards.</w:t>
      </w:r>
    </w:p>
    <w:p>
      <w:pPr>
        <w:pStyle w:val="TextBody"/>
        <w:bidi w:val="0"/>
        <w:spacing w:lineRule="auto" w:line="331" w:before="0" w:after="160"/>
        <w:ind w:left="0" w:right="0" w:firstLine="36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The table below details the payments made to each of our named executive officers pursuant to their respective 2025 Cash Performance Awards:</w:t>
      </w:r>
    </w:p>
    <w:p>
      <w:pPr>
        <w:pStyle w:val="TextBody"/>
        <w:bidi w:val="0"/>
        <w:spacing w:lineRule="auto" w:line="331" w:before="0" w:after="160"/>
        <w:ind w:left="0" w:right="0" w:hanging="0"/>
        <w:jc w:val="left"/>
        <w:rPr/>
      </w:pPr>
      <w:r>
        <w:rPr/>
        <w:t>​</w:t>
      </w:r>
    </w:p>
    <w:tbl>
      <w:tblPr>
        <w:tblW w:w="6199" w:type="dxa"/>
        <w:jc w:val="center"/>
        <w:tblInd w:w="0" w:type="dxa"/>
        <w:tblLayout w:type="fixed"/>
        <w:tblCellMar>
          <w:top w:w="0" w:type="dxa"/>
          <w:left w:w="0" w:type="dxa"/>
          <w:bottom w:w="0" w:type="dxa"/>
          <w:right w:w="0" w:type="dxa"/>
        </w:tblCellMar>
      </w:tblPr>
      <w:tblGrid>
        <w:gridCol w:w="1591"/>
        <w:gridCol w:w="346"/>
        <w:gridCol w:w="343"/>
        <w:gridCol w:w="1517"/>
        <w:gridCol w:w="346"/>
        <w:gridCol w:w="1028"/>
        <w:gridCol w:w="1028"/>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010285" cy="175260"/>
                      <wp:effectExtent l="0" t="0" r="0" b="0"/>
                      <wp:wrapNone/>
                      <wp:docPr id="275" name="Frame27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7805" cy="175260"/>
                      <wp:effectExtent l="0" t="0" r="0" b="0"/>
                      <wp:wrapNone/>
                      <wp:docPr id="277" name="Frame277"/>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63295" cy="175260"/>
                      <wp:effectExtent l="0" t="0" r="0" b="0"/>
                      <wp:wrapNone/>
                      <wp:docPr id="278" name="Frame278"/>
                      <a:graphic xmlns:a="http://schemas.openxmlformats.org/drawingml/2006/main">
                        <a:graphicData uri="http://schemas.microsoft.com/office/word/2010/wordprocessingShape">
                          <wps:wsp>
                            <wps:cNvSpPr txBox="1"/>
                            <wps:spPr>
                              <a:xfrm>
                                <a:off x="0" y="0"/>
                                <a:ext cx="96329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52780" cy="175260"/>
                      <wp:effectExtent l="0" t="0" r="0" b="0"/>
                      <wp:wrapNone/>
                      <wp:docPr id="280" name="Frame280"/>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52780" cy="175260"/>
                      <wp:effectExtent l="0" t="0" r="0" b="0"/>
                      <wp:wrapNone/>
                      <wp:docPr id="281" name="Frame281"/>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86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 Cash Performance</w:t>
            </w:r>
          </w:p>
        </w:tc>
        <w:tc>
          <w:tcPr>
            <w:tcW w:w="346" w:type="dxa"/>
            <w:tcBorders/>
            <w:vAlign w:val="center"/>
          </w:tcPr>
          <w:p>
            <w:pPr>
              <w:pStyle w:val="TableContents"/>
              <w:bidi w:val="0"/>
              <w:spacing w:lineRule="auto" w:line="285" w:before="0" w:after="0"/>
              <w:ind w:left="0" w:right="0" w:hanging="0"/>
              <w:jc w:val="left"/>
              <w:rPr/>
            </w:pPr>
            <w:r>
              <w:rPr/>
              <w:t>  ​ ​ ​</w:t>
            </w:r>
          </w:p>
        </w:tc>
        <w:tc>
          <w:tcPr>
            <w:tcW w:w="2056" w:type="dxa"/>
            <w:gridSpan w:val="2"/>
            <w:tcBorders/>
            <w:vAlign w:val="center"/>
          </w:tcPr>
          <w:p>
            <w:pPr>
              <w:pStyle w:val="TableContents"/>
              <w:bidi w:val="0"/>
              <w:spacing w:lineRule="auto" w:line="331" w:before="0" w:after="160"/>
              <w:ind w:left="0" w:right="0" w:hanging="0"/>
              <w:jc w:val="center"/>
              <w:rPr/>
            </w:pPr>
            <w:r>
              <w:rPr/>
              <w:t>​</w:t>
            </w:r>
          </w:p>
        </w:tc>
      </w:tr>
      <w:tr>
        <w:trPr/>
        <w:tc>
          <w:tcPr>
            <w:tcW w:w="15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Name of Executive</w:t>
            </w:r>
          </w:p>
        </w:tc>
        <w:tc>
          <w:tcPr>
            <w:tcW w:w="346" w:type="dxa"/>
            <w:tcBorders/>
            <w:vAlign w:val="center"/>
          </w:tcPr>
          <w:p>
            <w:pPr>
              <w:pStyle w:val="TableContents"/>
              <w:bidi w:val="0"/>
              <w:spacing w:lineRule="auto" w:line="331" w:before="0" w:after="160"/>
              <w:ind w:left="0" w:right="0" w:hanging="0"/>
              <w:jc w:val="left"/>
              <w:rPr/>
            </w:pPr>
            <w:r>
              <w:rPr/>
              <w:t>​</w:t>
            </w:r>
          </w:p>
        </w:tc>
        <w:tc>
          <w:tcPr>
            <w:tcW w:w="18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Award Payouts</w:t>
            </w:r>
          </w:p>
        </w:tc>
        <w:tc>
          <w:tcPr>
            <w:tcW w:w="346" w:type="dxa"/>
            <w:tcBorders/>
            <w:vAlign w:val="center"/>
          </w:tcPr>
          <w:p>
            <w:pPr>
              <w:pStyle w:val="TableContents"/>
              <w:bidi w:val="0"/>
              <w:spacing w:lineRule="auto" w:line="331" w:before="0" w:after="160"/>
              <w:ind w:left="0" w:right="0" w:hanging="0"/>
              <w:jc w:val="left"/>
              <w:rPr/>
            </w:pPr>
            <w:r>
              <w:rPr/>
              <w:t>​</w:t>
            </w:r>
          </w:p>
        </w:tc>
        <w:tc>
          <w:tcPr>
            <w:tcW w:w="20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Percentage of Base Salary</w:t>
            </w:r>
          </w:p>
        </w:tc>
      </w:tr>
      <w:tr>
        <w:trPr/>
        <w:tc>
          <w:tcPr>
            <w:tcW w:w="15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Timothy McGrath</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34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1,189,100</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2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0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Thomas Baker</w:t>
            </w:r>
          </w:p>
        </w:tc>
        <w:tc>
          <w:tcPr>
            <w:tcW w:w="346" w:type="dxa"/>
            <w:tcBorders/>
            <w:vAlign w:val="center"/>
          </w:tcPr>
          <w:p>
            <w:pPr>
              <w:pStyle w:val="TableContents"/>
              <w:bidi w:val="0"/>
              <w:spacing w:lineRule="auto" w:line="331" w:before="0" w:after="160"/>
              <w:ind w:left="0" w:right="0" w:hanging="0"/>
              <w:jc w:val="left"/>
              <w:rPr/>
            </w:pPr>
            <w:r>
              <w:rPr/>
              <w:t>​</w:t>
            </w:r>
          </w:p>
        </w:tc>
        <w:tc>
          <w:tcPr>
            <w:tcW w:w="34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426,525</w:t>
            </w:r>
          </w:p>
        </w:tc>
        <w:tc>
          <w:tcPr>
            <w:tcW w:w="346" w:type="dxa"/>
            <w:tcBorders/>
            <w:vAlign w:val="center"/>
          </w:tcPr>
          <w:p>
            <w:pPr>
              <w:pStyle w:val="TableContents"/>
              <w:bidi w:val="0"/>
              <w:spacing w:lineRule="auto" w:line="331" w:before="0" w:after="160"/>
              <w:ind w:left="0" w:right="0" w:hanging="0"/>
              <w:jc w:val="left"/>
              <w:rPr/>
            </w:pPr>
            <w:r>
              <w:rPr/>
              <w:t>​</w:t>
            </w:r>
          </w:p>
        </w:tc>
        <w:tc>
          <w:tcPr>
            <w:tcW w:w="102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02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Patricia Gallup</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34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230,535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2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0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969" w:name="cnxn-20260331xex10d2.htm"/>
      <w:bookmarkStart w:id="970" w:name="kscnxn20260331xex10d2"/>
      <w:bookmarkEnd w:id="969"/>
      <w:bookmarkEnd w:id="970"/>
      <w:r>
        <w:rPr>
          <w:rFonts w:ascii="Times New Roman" w:hAnsi="Times New Roman"/>
          <w:b/>
          <w:sz w:val="20"/>
        </w:rPr>
        <w:t>Exhibit 10.2</w:t>
      </w:r>
      <w:r>
        <w:br w:type="page"/>
      </w:r>
    </w:p>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 C:\Users\ahasani\AppData\Local\Microsoft\Windows\INetCache\Content.Outlook\NG63XUII\Third Amenmdent to Lease - PC Connection -12.2.25 - Execution Version.docx THIRD AMENDMENT TO LEASE THIS THIRD AMENDMENT TO LEASE (the “Third Amendment”), entered into and made effective this 22nd day of January 2026 (the “Effective Date”), by and between WIP 13 OWNER LLC, an Ohio limited liability company (the “Lessor” or “Landlord”), and PC CONNECTION, INC., a Delaware corporation (the “Lessee” or “Tenant”). WITNESSETH: WHEREAS, Lessor’s predecessor-in-interest and Lessee entered into that certain Lease Agreement dated August 27, 2014 [the “Base Lease”, together with those certain letters from Mandelbaum, Salsburg, Lazris &amp; Discenza, P.C. dated October 6, 2014 and October 7, 2014 (the “Letter Agreements”), that certain Second Amendment to Lease Agreement dated August 29, 2019 (the “Second Amendment”), and this Third Amendment, the “Lease”] pursuant to which Lessee leases from Lessor Building 11 located at 3336 Progress Way, Wilmington, Ohio consisting of 282,819 square feet (the "Premises”); and WHEREAS, Lessor and Lessee desire to amend the Lease as hereinafter set forth; and NOW, THEREFORE, in consideration of the foregoing recitals, the mutual covenants herein contained, and good and valuable consideration, the receipt and sufficiency of which are hereby acknowledged, the parties hereby agree as follows: 1. CONDITION OF PREMISES. Lessee is in possession of and accepts the Premises in its “as is, where is” condition” subject to Landlord’s continuing maintenance and repair obligations under the Lease. 2. TERM. The term of Lease for the Premises is hereby extended for a period of seven (7) years (the “2026-2033 Extended Term”) commencing on September 1, 2026, and expiring on August 31, 2033 (the “Expiration Date”). 3. RENEWAL OPTIONS. As of the date hereof, any options for Tenant to extend the term remaining under the Lease shall be replaced and superseded by the following renewal options set forth in this Section 3. Provided Tenant is not in material default beyond any applicable grace or cure period, Tenant shall have two (2) additional non-transferable (except to any related entity which controls Tenant, is controlled by Tenant, or is under common control with Tenant, or if Tenant is acquired pursuant to a merger or acquisition, or sells substantially all of the assets of its business conducted at the Premises, each as permitted in accordance with the Lease) options to extend the Term of the Lease for a period of five (5) years each (each, a “Renewal Term”) exercisable by serving written notice of the exercise thereof upon Landlord no later than two hundred seventy (270) days prior to the expiration of the 2026-2033 Extended Term, or the first Renewal Term, as applicable (the “Renewal Deadline”); provided, however, that Tenant’s option to renew shall be deemed null and void and the renewal of this Lease shall be and become null and void automatically without the need for any further action notwithstanding the exercise or attempted exercise of such renewal option by Tenant if the Lease shall have been previously terminated or any event of material default shall exist beyond Tenant’s cure period on the date upon which Tenant exercises such renewal option and/or upon the commencement date of such Renewal Term. Notwithstanding the foregoing, Tenant’s right to a Renewal Term will not lapse because of Tenant’s failure to exercise any option to renew unless Lessor first will have given Tenant written notice that Tenant has failed to exercise such option to extend, and Tenant does not exercise such option to extend within thirty (30) days following Lessor sending Lessee written notice. If the Term of the Lease is renewed as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provided above, the renewal of the Lease shall be upon all the same terms, covenants, and conditions as provided in the Lease with the exception of the Annual Basic Rent. In the event that Tenant validly exercises the applicable renewal option as provided hereinabove, the Annual Basic Rent payable by Tenant for the first Lease Year of the applicable Renewal Term shall be as determined in Section 20.0 1(d) of the Base Lease. BASIC RENT. Basic Rent payable by Lessee to Lessor for the Premises during the 2026-2033 Extended Term shall be as follows: Lease Date Monthly Basic Rent PSF Annual Basic Rent Months 1-12 $84,845.70 12 $360000 $1,018,148.40 Months 13-24 $87,815.30 12 $372600 $1,053,783.59 Months 25 - 36 $90,888.83 12 $385641 $1,090,666.02 Months 37-48 $94,069.94 12 $399138 $1,128,839.33 Months 49-60 $97,362.39 12 $413108 $1,168,348.71 Months 61-72 $100,770.08 12 $4.27567 $1,209,240.91 Months 73 - 84 $104,297.03 12 $4.42532 $1,251,564.34 a. b. Lessee shall continue to pay any and all additional sums due under the Lease including, but not limited to, Additional Rent, Operating Expenses, Insurance Premiums, utilities, consumables, rubbish removal, and Real Estate Taxes (collectively, the "Additional charges"), and all Basic Rent and Additional Charges for the Premises, all of which shall be paid pursuant to and in accordance with the Lease. The above schedule of Basic Rent does not include any Additional Charges. LESSEE IMPROVEMENT ALLOWANCE. Lessor agrees to reimburse Lessee, if Lessee is not then in material default beyond the expiration of notice and applicable cure periods under any of the terms of this Lease, the cost of Lessee's work incurred to perform permanent leasehold improvements in the Premises (the "Lessee's Work"), including but not limited to, restroom refurbishments, office refurbishment, lighting upgrades, and security improvements and upgrades, up to the aggregate sum of FIVE HUNDRED THOUSAND AND 00/100 DOLLARS ($500,000.00) (the "Construction Allowance"), but not more than that amount. Lessor shall make payments to the Lessee for the cost of Lessee's Work in the accordance with the following: a. Lessor shall make progress payments to Lessee of the Construction Allowance on a monthly basis, as hereinafter provided. Each progress payment shall equal (100) percent of the cost of the Lessee's Work incurred or paid by Lessee (for which no prior requests for payment have been made) for the period for which payment is requested; provided, however, that such progress payments shall only be made in increments of FIFTY THOUSAND AND 00/100 DOLLARS ($50,000.00) or more, except for the final payment, which may be less than FIFTY THOUSAND AND 00/100 DOLLARS ($50,000.00), if the remaining balance of the Construction Allowance is less than that amount. Each progress payment shall be made to Lessee within thirty (30) days after Lessor's receipt of Lessee's requisition request, together with the required documentation (if applicable) described below, provided such request and documentation are delivered to Lessor by the tenth (10th) day of the month and further provided that all of the following conditions are met (the "Payment conditions") at the time each such payment is requested and due: i. Lessee is not in monetary or material non-monetary default of this Lease beyond the applicable cure period; and 2 :\I'roperties\OH, V'iIoitgtoit\PC Connection s\2025 . Third A,sscodmcnt\V.3, LL to TT\PC Connection, Inc. - Third Amendment to Lease Agreement [Wilmington] 2025.11 19 TEI.docx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3"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ii. No mechanic's lien has been filed against Lessor, Lessee, the Premises, or the Property, which lien has not yet been discharged of record; and iii. Lessee submits to Lessor all of the following documentation: A requisition for payment, provided, however, that Lessee shall submit such requisition for payment no more often than once monthly (and subject to the time constraints set forth above), and each such requisition shall cover services performed and materials supplied (for which no prior requests for payment have been made) for the period(s) preceding the month in which such submission is made; and 2. If applicable, a certification by the architect engaged by Lessee for the Lessee's Work stating that the portion of the work for which Lessee is applying for payment has been completed in accordance with the Plans and Specifications approved by Lessor and, to the architect's knowledge, all applicable Laws; and 3. Bills from Lessee's architects, consultants, contractors, engineers, and suppliers for services performed and materials supplied for those portions of the Lessee's Work for which Lessee seeks payment and for which Lessee has not previously submitted a requisition (and where Lessee elects to be reimbursed, such bills shall have been marked "paid" by the architect, consultant, contractor, engineer, or supplier); and 4. Executed and acknowledged releases of lien in form and substance satisfactory to Lessor evidencing payment for any prior work or services performed and materials supplied for which Lessee previously applied for payment. b. Provided all of the Payment Conditions have been met, each such progress payment shall be made within the time period set out above after Lessor receives from Lessee all of the required documents in support of Lessee's request for payment. However, if such request and documentation are delivered after the tenth (10th) day of the month, the corresponding progress payment shall be made during the second month after the month in which such request and documentation are delivered to Lessor. c. The progress payments shall be made, at Lessee's option, either to: i. Lessee's architects, consultants, contractors, engineers, and suppliers (collectively, "Providers") engaged in the performance of the Lessee's Work for whom Lessee requests payment, unless Lessee has already made such payment to the Provider; or ii. Lessee, as reimbursement for the amounts paid by Lessee for such services and/or supplies. d. Prior to the performance of the Lessee's Work, Lessee shall submit to Lessor for Lessor's written approval detailed plans and specifications therefor, including the list of all contractors and subcontractors, and Lessee shall not proceed with the Lessee's Work until 3 H:Acquisiuons\Pastor&amp; Soo\Asset Mgtnt\OH. Wilmington\Wilmington Industrial ParkLuacs\Building I I\Third Amenindentlo Lease - PC Connection -12.2.25 -Execution Version.docx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4"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it obtains Lessor's written approval, which approval shall not be unreasonably withheld, conditioned or delayed and provided to Lessee no later than fifteen (15) days after receipt of all of Lessee's plans and specifications of the Lessee's Work. e. The Construction Allowance monies will be paid to Lessee only for Lessee's payment for demolition work and construction work performed in the Premises, including the cost of raw materials, labor, architect's fees, permits, built in furniture that is not a trade fixture, floor coverings, wall treatments and related costs of construction. Construction work does not include inventory, supplies, Lessee's moveable property or the cost of training Lessee's employees. The above terms contained herein shall be a condition precedent to Lessee's right to receive the Construction Allowance, and no portion of said sum shall vest in Lessee, nor shall Lessee sell, assign, encumber or create a security interest in such Construction Allowance prior to full compliance with the terms contained herein. All construction, improvements, additions, property and fixtures, except for Lessee's movable trade fixtures, personal property, equipment, point-of-sale equipment security systems, free-standing display racks, leased equipment, and goods held for sale to the public (the "Leasehold Improvements") but only to the extent same are funded by the Construction Allowance will at all times be the sole property of Lessor, and Lessee will have no ownership interest in the Leasehold Improvements, except that Lessee may retain and maintain such indicia of ownership of the Leasehold Improvements to the extent required for insurance purposes. Any funds designated in this Lease as a Construction Allowance will be used exclusively for the design and construction of those Leasehold Improvements located in the Premises. It is the intention of Lessor and Lessee that the Leasehold Improvements will constitute "leasehold improvements" within the meaning of Section 168(i) of the internal Revenue Code of 1986, as amended. g. Lessor and Lessee agree that the monies to be paid by Lessor to Lessee pursuant to this Section are being paid to Lessee for the purpose of Lessee's constructing or improving qualified long-term real property as defined in Section 110(c)(l) of the Internal Revenue Code of 1986, as amended, for use in such Lessee's trade or business at the Premises, which Premised Lessor and Lessee acknowledge constitutes retail space. It is the intent of Lessor and Lessee that Lessor and Lessee shall consider any such payment as made in accordance with Section 110 of the Internal Revenue Code of 1986, as amended, and Lessor and Lessee shall provide the Internal Revenue Service any and all information concerning such payments as may be required by the Internal Revenue Service. 6. RIGHT OF FIRST OFFER ("ROFO"). Lessee shall have an ongoing right of first offer to lease any space located at 3188 Progress Way, Wilmington, Ohio that was previously occupied by another Lessee but becoming available for lease after the date of this Third Amendment (the "Future Expansion Space"), subject to any rights or options of other Lessees existing on the date of this Third Amendment, and subject to the following additional terms: a. After the date on which the Future Expansion Space is to become vacant is known to Lessor with reasonable certainty, Lessor shall deliver to Lessee a written notice offering such space to Lessee (the "Expansion Availability Notice") including the rentable area and the basic proposed terns on which Lessor intends to offer it for lease to third parties. Such Expansion Availability Notice shall include (1) the Annual Basic Rent to apply to the Future Expansion Space, which Annual Basic Rent shall be at a per square foot rate which is equal to the greater of (i) the rate in effect being paid by the Lessor for the existing 4 H:Acquisitions\Pastor&amp; SotoAssct Mgrnt\OH, WflmingtonWiImington Industrial Park\Leases\Building 11\Third Amenmdentto Lease -PC Connection -12.2.25 -Execution Veision.docx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5"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Premises, or (ii) the same per square foot rental rate offered to other prospective tenants for comparable space in the building, taking into account location, size, and improvements, (2) a statement as to whether the Lessor will offer any allowances for space improvements or other similar concessions, (3) the date on which the Lessee may occupy such Future Expansion Space, and (4) any other important terms upon which the Lessor is offering the Future Expansion Space to the Lessee. In order to exercise its rights under this section, Lessee must give Lessor written notice of its election to accept the offer (the "Expansion Acceptance Notice") within fifteen (15) days after receiving the Expansion Availability Notice. b. If Lessee timely accepts the Lessor's offer above, then Lessee's leasing of the Future Expansion Space shall be under all terms of this Lease for the remainder of the Term, as supplemented by the terms of the Expansion Availability Notice, and except that (i) the Annual Basic Rent shall be as determined in accordance with the provisions above, and (ii) the fraction used for Lessee's Share of Taxes and Operating Expenses (and any other calculation predicated on the Premises' share of space in the Property) shall be increased proportionately to reflect the addition of the Expansion Space to the Premises. Furthermore, within thirty (30) days after the Expansion Acceptance Notice, the parties shall execute a written amendment to this Lease describing the addition of the Expansion Space to the Premises and setting forth the foregoing changes to the Lease. c. If Lessee fails to give notice accepting the Lessor's offer by the time required above, or if at the time Lessee accepts such offer or at the time Lessee's lease of the Future Expansion Space becomes effective the Lessee is in an Event of Default under the Lease (past any applicable notice and grace period), then Lessee's right of first offer provided in this Section shall be automatically terminated and of no further force or effect, and Lessor shall have the right to lease the Future Expansion Space to any parties and upon any terms it sees fit. d. If Lessee declines or fails to timely exercise its right and Lessor thereafter fails to execute a lease with a third party on substantially the same or better economic terms within twelve (12) months after the date of Lessee's waiver, Lessor must re-offer the Future Expansion Space to Lessee under this Section before leasing it to any other party. e. Lessee's ROFO shall run with the Lease and may be exercised by any assignee or subtenant approved by Lessor under the Lease. This ROFO shall not apply to (i) renewals, extensions, or expansions by existing tenants exercising their preexisting rights, or (ii) space leased to affiliates or subsidiaries of such tenants. Lessee's ROFO shall continue throughout the Term (and any extensions thereof) and shall apply to each new instance of Future Expansion Space as it arises, regardless of whether Lessee previously declined to exercise the right with respect to other space. 7. SPRINKLER PUMP. Landlord shall, at Landlord's sole cost and expense, promptly repair and ensure the sprinkler pump serving the 3-building campus, including the Premises, is in good working order prior to the commencement of the Expansion Term. 8. USA PATRIOT ACT. Each party hereby represents and warrants to the other as to itself that to the best of their actual knowledge: a. the Office of Foreign Assets Control of the United States Department of Treasury ("OFAC') has not listed such party or any of such party's affiliates, or any person that 5 H:\Acquisiuons\Pastor &amp; SotoAsset Mg,nt\OH. Wilminglon\Wilmington industrial Park\Leues\Buildrng I I\Third Anenmdent to Lease - PC Connection -12.2.25 -Execution Venion.docx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6"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controls, is controlled by, or is under common control with such party, on its list of Specially Designated Nationals and Blocked Persons; and b. it is not acting in this transaction, directly or indirectly, for or on behalf of any person, group, entity or nation named by any Executive Order, the United States Treasury Department, or United States Office of Homeland Security as a terrorist, Specially Designated National and Blocked Person, or other banned or blocked person, entity, nation or pursuant to any law, order, rule or regulation that is enforced or administered by the OFAC. 9. BROKERAGE. Lessee and Lessor represent and warrant that they have had no dealings with any real estate broker or agent (other than with JLL and Kelleher &amp; Sadowsky who represent the Tenant and Time Equities, Inc., representing Lessor) in connection with the negotiation of this Third Amendment and that it knows of no other real estate broker or agent who is or might be entitled to compensation in connection with this Third Amendment, and both parties agrees to indemnify and hold the other harmless from and against any and all claims for such compensation. 10. EXECUTION IN COUNTERPARTS. This Third Amendment may be executed in two or more counterparts, each of which shall be deemed an original but all of which together shall constitute one and the same agreement. Further, the counterparts of this Third Amendment may be executed and delivered by facsimile or other electronic means by any of the parties to any other party, and the receiving party may rely on the receipt of such document so executed and delivered by facsimile or other electronic means as if the wet ink original had been received. 11. MISCELLANEOUS. a. Except as expressly provided herein, the parties agree and acknowledge that all of the terms covenants and conditions contained in the Lease shall be in full force and effect throughout the Lease Term. Accordingly, the Lease is restated herein in full and the parties acknowledge that the Lease is in full force and effect. b. This Third Amendment shall be binding upon the parties hereto and their heirs, successors and assigns. c. Each party warrants and represents that each has the full power and authority to enter into this Third Amendment. d. The Lease, as modified by this Third Amendment contains the entire agreement between the parties. The Lease may be amended only by a written instrument signed by and delivered to all of the parties. e. In the event of any conflict between the terms of the Lease and this Third Amendment, the terms of this Third Amendment shall prevail. Except as specifically provided herein, all of the terms, provisions, covenants and conditions of the Lease are hereby ratified and confirmed and shall continue in full force and effect. f. The captions and headings throughout this Third Amendment are for convenience and reference only, and in the same shall in no way be held or deemed to define, limit, describe, explain, modify, amplify or add to the interpretation, construction or meaning of any provision, or the scope of intent hereof, nor in any way affect this Third Amendment. 6 H:\Acquisitions\Pstor&amp; Soto\Asset MgmtOH, Wilrninglon\Wilmington Industrial Park\Leases\Building I I\Third Ainenmdent to Lease -PC Connection .122.25 -Execution Veesion.docx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7" descr=""/>
                          <pic:cNvPicPr>
                            <a:picLocks noChangeAspect="1" noChangeArrowheads="1"/>
                          </pic:cNvPicPr>
                        </pic:nvPicPr>
                        <pic:blipFill>
                          <a:blip r:embed="rId1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g. Al! terms not defined in this Third Amendment shall have the respective meanings ascribed to them in the Lease. [SIGNATURES APPEAR ON THE FOLLOWING PAGE] [REMAINDER OF THE PAGE INTENTIONALLY LEFT BLANK] H:\Acquisitions\Pastor&amp; Soto\Assct MgmAOH. Wilmington\Wdmington Industrial Park\Leaseu\Boilding 11\Third Amenmdent to Lease -PC Connection -12.2.25 -Execution Version.docx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8" descr=""/>
                          <pic:cNvPicPr>
                            <a:picLocks noChangeAspect="1" noChangeArrowheads="1"/>
                          </pic:cNvPicPr>
                        </pic:nvPicPr>
                        <pic:blipFill>
                          <a:blip r:embed="rId11"/>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IN WITNESS WHEREOF, the parties hereto have hereunto set their respective hands and seals as of the date first above written. LESSOR: WIP 11-12 OWNER LLC By: Time Equities, Inc., as agent By: Name: Max Pastor Title: Chief Operating Officer Date: 1211 I Z LESSEE: PC CONNECTI N, INC. By: Date: Nam. On1 Cb a LV Title: 8 H:'AcquisitionsPastor &amp; Soto\Asset MgmA0H. Wilmington\Wilmington Industrial Park\ ca Building I l\Third Amenmdcnt to Lease - PC Connection -12.2.25 - Execution Version.docx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9" descr=""/>
                          <pic:cNvPicPr>
                            <a:picLocks noChangeAspect="1" noChangeArrowheads="1"/>
                          </pic:cNvPicPr>
                        </pic:nvPicPr>
                        <pic:blipFill>
                          <a:blip r:embed="rId12"/>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STATE OF NEW YORK ) ) SS COUNTY OF NEW YORK The foregoing instrument was acknowledged before me this 114 day December of 2025 by Max Pastor, Chief Oper ting Officer for Time Equities, Inc., as agent for WIP 11-12 OWNER LLC. r IsTfF NOTARY PUBLIC, STATE OF NEW YORK Registration No. 01ME6439947 Notary Public I Qualified in Queens County My commission expires: j Commission Expires O92 . !J STATE OF A1 ?4-P1I (C1) ) SS COUNTY OF ilJskxwou The foregoing instrument was acknowledged before me this day of December 2025 by 7iinaS5LkK__ ,the (f(i)_ of PC CONNCTION, INC., on behalf of the corporation. Notary Public My commission expires: /O/q/do?9 Ci my-I COMM EXPIRES OCTOBER 4, 2027: 4,f 9 H \AcquisitionsWastor&amp; Soto\Assei Mgnst\OH, WslniintonWiImington Industrial Parl\Leases\BuiIdin8 lI\Third Aniernndent to Lease - PC Connection -12.225 - Execution Version.docx </w:t>
            </w:r>
          </w:p>
        </w:tc>
      </w:tr>
    </w:tbl>
    <w:p>
      <w:pPr>
        <w:pStyle w:val="TextBody"/>
        <w:bidi w:val="0"/>
        <w:spacing w:before="40" w:after="40"/>
        <w:ind w:left="0" w:right="0" w:hanging="0"/>
        <w:jc w:val="right"/>
        <w:rPr>
          <w:rFonts w:ascii="Times New Roman" w:hAnsi="Times New Roman"/>
          <w:b/>
          <w:sz w:val="20"/>
        </w:rPr>
      </w:pPr>
      <w:bookmarkStart w:id="971" w:name="cnxn-20260331xex10d3.htm"/>
      <w:bookmarkStart w:id="972" w:name="kscnxn20260331xex10d3"/>
      <w:bookmarkEnd w:id="971"/>
      <w:bookmarkEnd w:id="972"/>
      <w:r>
        <w:rPr>
          <w:rFonts w:ascii="Times New Roman" w:hAnsi="Times New Roman"/>
          <w:b/>
          <w:sz w:val="20"/>
        </w:rPr>
        <w:t>Exhibit 10.3</w:t>
      </w:r>
      <w:r>
        <w:br w:type="page"/>
      </w:r>
    </w:p>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0" descr=""/>
                          <pic:cNvPicPr>
                            <a:picLocks noChangeAspect="1" noChangeArrowheads="1"/>
                          </pic:cNvPicPr>
                        </pic:nvPicPr>
                        <pic:blipFill>
                          <a:blip r:embed="rId13"/>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38" w:type="dxa"/>
        <w:jc w:val="center"/>
        <w:tblInd w:w="0" w:type="dxa"/>
        <w:tblLayout w:type="fixed"/>
        <w:tblCellMar>
          <w:top w:w="0" w:type="dxa"/>
          <w:left w:w="0" w:type="dxa"/>
          <w:bottom w:w="0" w:type="dxa"/>
          <w:right w:w="0" w:type="dxa"/>
        </w:tblCellMar>
      </w:tblPr>
      <w:tblGrid>
        <w:gridCol w:w="23"/>
        <w:gridCol w:w="12735"/>
        <w:gridCol w:w="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1" descr=""/>
                          <pic:cNvPicPr>
                            <a:picLocks noChangeAspect="1" noChangeArrowheads="1"/>
                          </pic:cNvPicPr>
                        </pic:nvPicPr>
                        <pic:blipFill>
                          <a:blip r:embed="rId14"/>
                          <a:stretch>
                            <a:fillRect/>
                          </a:stretch>
                        </pic:blipFill>
                        <pic:spPr bwMode="auto">
                          <a:xfrm>
                            <a:off x="0" y="0"/>
                            <a:ext cx="8086725" cy="10477500"/>
                          </a:xfrm>
                          <a:prstGeom prst="rect">
                            <a:avLst/>
                          </a:prstGeom>
                        </pic:spPr>
                      </pic:pic>
                    </a:graphicData>
                  </a:graphic>
                </wp:inline>
              </w:drawing>
            </w:r>
          </w:p>
        </w:tc>
        <w:tc>
          <w:tcPr>
            <w:tcW w:w="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2-16-2026</w:t>
            </w:r>
          </w:p>
        </w:tc>
      </w:tr>
    </w:tbl>
    <w:p>
      <w:pPr>
        <w:pStyle w:val="TextBody"/>
        <w:bidi w:val="0"/>
        <w:spacing w:lineRule="auto" w:line="285" w:before="0" w:after="600"/>
        <w:ind w:left="0" w:right="0" w:hanging="0"/>
        <w:jc w:val="right"/>
        <w:rPr>
          <w:rFonts w:ascii="Times New Roman;Times;serif" w:hAnsi="Times New Roman;Times;serif"/>
          <w:sz w:val="20"/>
        </w:rPr>
      </w:pPr>
      <w:bookmarkStart w:id="973" w:name="cnxn-20260331xex31d1.htm"/>
      <w:bookmarkStart w:id="974" w:name="kscnxn20260331xex31d1"/>
      <w:bookmarkEnd w:id="973"/>
      <w:bookmarkEnd w:id="974"/>
      <w:r>
        <w:rPr>
          <w:rFonts w:ascii="Times New Roman;Times;serif" w:hAnsi="Times New Roman;Times;serif"/>
          <w:sz w:val="20"/>
        </w:rPr>
        <w:t>Exhibit 31.1</w:t>
      </w:r>
      <w:r>
        <w:br w:type="page"/>
      </w:r>
    </w:p>
    <w:p>
      <w:pPr>
        <w:pStyle w:val="TextBody"/>
        <w:bidi w:val="0"/>
        <w:spacing w:lineRule="auto" w:line="285" w:before="0" w:after="6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I, Timothy J. McGrath, certify that:</w:t>
      </w:r>
    </w:p>
    <w:tbl>
      <w:tblPr>
        <w:tblW w:w="6340" w:type="dxa"/>
        <w:jc w:val="left"/>
        <w:tblInd w:w="0" w:type="dxa"/>
        <w:tblLayout w:type="fixed"/>
        <w:tblCellMar>
          <w:top w:w="0" w:type="dxa"/>
          <w:left w:w="0" w:type="dxa"/>
          <w:bottom w:w="0" w:type="dxa"/>
          <w:right w:w="0" w:type="dxa"/>
        </w:tblCellMar>
      </w:tblPr>
      <w:tblGrid>
        <w:gridCol w:w="170"/>
        <w:gridCol w:w="617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PC Connection, Inc.;</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7476" w:type="dxa"/>
        <w:jc w:val="center"/>
        <w:tblInd w:w="0" w:type="dxa"/>
        <w:tblLayout w:type="fixed"/>
        <w:tblCellMar>
          <w:top w:w="0" w:type="dxa"/>
          <w:left w:w="0" w:type="dxa"/>
          <w:bottom w:w="0" w:type="dxa"/>
          <w:right w:w="0" w:type="dxa"/>
        </w:tblCellMar>
      </w:tblPr>
      <w:tblGrid>
        <w:gridCol w:w="1786"/>
        <w:gridCol w:w="109"/>
        <w:gridCol w:w="5581"/>
      </w:tblGrid>
      <w:tr>
        <w:trPr/>
        <w:tc>
          <w:tcPr>
            <w:tcW w:w="17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 TIMOTHY J. MCGRATH</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Timothy J. McGrath</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600"/>
        <w:ind w:left="0" w:right="0" w:hanging="0"/>
        <w:jc w:val="right"/>
        <w:rPr>
          <w:rFonts w:ascii="Times New Roman;Times;serif" w:hAnsi="Times New Roman;Times;serif"/>
          <w:sz w:val="20"/>
        </w:rPr>
      </w:pPr>
      <w:bookmarkStart w:id="975" w:name="cnxn-20260331xex31d2.htm"/>
      <w:bookmarkStart w:id="976" w:name="kscnxn20260331xex31d2"/>
      <w:bookmarkEnd w:id="975"/>
      <w:bookmarkEnd w:id="976"/>
      <w:r>
        <w:rPr>
          <w:rFonts w:ascii="Times New Roman;Times;serif" w:hAnsi="Times New Roman;Times;serif"/>
          <w:sz w:val="20"/>
        </w:rPr>
        <w:t>Exhibit 31.2</w:t>
      </w:r>
      <w:r>
        <w:br w:type="page"/>
      </w:r>
    </w:p>
    <w:p>
      <w:pPr>
        <w:pStyle w:val="TextBody"/>
        <w:bidi w:val="0"/>
        <w:spacing w:lineRule="auto" w:line="285" w:before="0" w:after="6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I, Thomas C. Baker, certify that:</w:t>
      </w:r>
    </w:p>
    <w:tbl>
      <w:tblPr>
        <w:tblW w:w="6340" w:type="dxa"/>
        <w:jc w:val="left"/>
        <w:tblInd w:w="0" w:type="dxa"/>
        <w:tblLayout w:type="fixed"/>
        <w:tblCellMar>
          <w:top w:w="0" w:type="dxa"/>
          <w:left w:w="0" w:type="dxa"/>
          <w:bottom w:w="0" w:type="dxa"/>
          <w:right w:w="0" w:type="dxa"/>
        </w:tblCellMar>
      </w:tblPr>
      <w:tblGrid>
        <w:gridCol w:w="170"/>
        <w:gridCol w:w="617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PC Connection, Inc.;</w:t>
            </w:r>
          </w:p>
        </w:tc>
      </w:tr>
    </w:tbl>
    <w:p>
      <w:pPr>
        <w:pStyle w:val="TextBody"/>
        <w:pBdr/>
        <w:bidi w:val="0"/>
        <w:spacing w:lineRule="auto" w:line="285" w:before="0" w:after="0"/>
        <w:ind w:left="72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85" w:before="0" w:after="0"/>
        <w:ind w:left="0" w:right="0" w:hanging="720"/>
        <w:jc w:val="left"/>
        <w:rPr/>
      </w:pPr>
      <w:r>
        <w:rPr/>
        <w:t>​</w:t>
      </w:r>
    </w:p>
    <w:p>
      <w:pPr>
        <w:pStyle w:val="TextBody"/>
        <w:pBdr/>
        <w:bidi w:val="0"/>
        <w:spacing w:lineRule="auto" w:line="285" w:before="0" w:after="0"/>
        <w:ind w:left="0" w:right="0" w:hanging="720"/>
        <w:jc w:val="left"/>
        <w:rPr/>
      </w:pPr>
      <w:r>
        <w:rPr/>
        <w:t>​</w:t>
      </w:r>
    </w:p>
    <w:p>
      <w:pPr>
        <w:pStyle w:val="TextBody"/>
        <w:pBdr/>
        <w:bidi w:val="0"/>
        <w:spacing w:lineRule="auto" w:line="285" w:before="0" w:after="0"/>
        <w:ind w:left="0" w:right="0" w:hanging="720"/>
        <w:jc w:val="left"/>
        <w:rPr/>
      </w:pPr>
      <w:r>
        <w:rPr/>
        <w:t>​</w:t>
      </w:r>
    </w:p>
    <w:p>
      <w:pPr>
        <w:pStyle w:val="TextBody"/>
        <w:bidi w:val="0"/>
        <w:spacing w:lineRule="auto" w:line="285"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733"/>
        <w:gridCol w:w="109"/>
        <w:gridCol w:w="8363"/>
      </w:tblGrid>
      <w:tr>
        <w:trPr/>
        <w:tc>
          <w:tcPr>
            <w:tcW w:w="1733"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363" w:type="dxa"/>
            <w:tcBorders/>
            <w:vAlign w:val="center"/>
          </w:tcPr>
          <w:p>
            <w:pPr>
              <w:pStyle w:val="TableContents"/>
              <w:bidi w:val="0"/>
              <w:spacing w:lineRule="auto" w:line="285" w:before="0" w:after="0"/>
              <w:ind w:left="0" w:right="0" w:hanging="0"/>
              <w:jc w:val="left"/>
              <w:rPr/>
            </w:pPr>
            <w:r>
              <w:rPr/>
              <w:t>​</w:t>
            </w:r>
          </w:p>
        </w:tc>
      </w:tr>
      <w:tr>
        <w:trPr/>
        <w:tc>
          <w:tcPr>
            <w:tcW w:w="1733"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109" w:type="dxa"/>
            <w:tcBorders/>
            <w:vAlign w:val="center"/>
          </w:tcPr>
          <w:p>
            <w:pPr>
              <w:pStyle w:val="TableContents"/>
              <w:bidi w:val="0"/>
              <w:spacing w:lineRule="auto" w:line="285" w:before="0" w:after="0"/>
              <w:ind w:left="0" w:right="0" w:hanging="0"/>
              <w:jc w:val="left"/>
              <w:rPr/>
            </w:pPr>
            <w:r>
              <w:rPr/>
              <w:t>​</w:t>
            </w:r>
          </w:p>
        </w:tc>
        <w:tc>
          <w:tcPr>
            <w:tcW w:w="83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 THOMAS C. BAKER</w:t>
            </w:r>
          </w:p>
        </w:tc>
      </w:tr>
      <w:tr>
        <w:trPr/>
        <w:tc>
          <w:tcPr>
            <w:tcW w:w="1733" w:type="dxa"/>
            <w:tcBorders/>
            <w:vAlign w:val="center"/>
          </w:tcPr>
          <w:p>
            <w:pPr>
              <w:pStyle w:val="TableContents"/>
              <w:bidi w:val="0"/>
              <w:spacing w:lineRule="auto" w:line="285"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lineRule="auto" w:line="285" w:before="0" w:after="0"/>
              <w:ind w:left="0" w:right="0" w:hanging="0"/>
              <w:jc w:val="left"/>
              <w:rPr/>
            </w:pPr>
            <w:r>
              <w:rPr/>
              <w:t>​</w:t>
            </w:r>
          </w:p>
        </w:tc>
        <w:tc>
          <w:tcPr>
            <w:tcW w:w="8363"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Thomas C. Baker</w:t>
            </w:r>
          </w:p>
        </w:tc>
      </w:tr>
      <w:tr>
        <w:trPr/>
        <w:tc>
          <w:tcPr>
            <w:tcW w:w="1733"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Senior Vice President, Chief Financial Officer and Treasurer (Principal Financial and Accounting Officer)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600"/>
        <w:ind w:left="0" w:right="0" w:hanging="0"/>
        <w:jc w:val="right"/>
        <w:rPr>
          <w:rFonts w:ascii="Times New Roman;Times;serif" w:hAnsi="Times New Roman;Times;serif"/>
          <w:sz w:val="20"/>
        </w:rPr>
      </w:pPr>
      <w:bookmarkStart w:id="977" w:name="cnxn-20260331xex32d1.htm"/>
      <w:bookmarkStart w:id="978" w:name="kscnxn20260331xex32d1"/>
      <w:bookmarkEnd w:id="977"/>
      <w:bookmarkEnd w:id="978"/>
      <w:r>
        <w:rPr>
          <w:rFonts w:ascii="Times New Roman;Times;serif" w:hAnsi="Times New Roman;Times;serif"/>
          <w:sz w:val="20"/>
        </w:rPr>
        <w:t>Exhibit 32.1</w:t>
      </w:r>
      <w:r>
        <w:br w:type="page"/>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CERTIFICATION PURSUANT TO 18 U.S.C. SECTION 1350,</w:t>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lineRule="auto" w:line="285" w:before="0" w:after="60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lineRule="auto" w:line="285" w:before="0" w:after="200"/>
        <w:ind w:left="0" w:right="518" w:hanging="0"/>
        <w:jc w:val="left"/>
        <w:rPr>
          <w:rFonts w:ascii="Times New Roman;Times;serif" w:hAnsi="Times New Roman;Times;serif"/>
          <w:sz w:val="20"/>
        </w:rPr>
      </w:pPr>
      <w:r>
        <w:rPr>
          <w:rFonts w:ascii="Times New Roman;Times;serif" w:hAnsi="Times New Roman;Times;serif"/>
          <w:sz w:val="20"/>
        </w:rPr>
        <w:t>In connection with the Quarterly Report on Form 10-Q of PC Connection, Inc. (the “Company”) for the period ended March 31, 2026 as filed with the Securities and Exchange Commission on the date hereof (the “Report”), the undersigned, Timothy J. McGrath, President and Chief Executive Officer of the Company, hereby certifies, pursuant to 18 U.S.C. Section 1350, that to the best of his knowledge:</w:t>
      </w:r>
    </w:p>
    <w:tbl>
      <w:tblPr>
        <w:tblW w:w="9821" w:type="dxa"/>
        <w:jc w:val="left"/>
        <w:tblInd w:w="0" w:type="dxa"/>
        <w:tblLayout w:type="fixed"/>
        <w:tblCellMar>
          <w:top w:w="0" w:type="dxa"/>
          <w:left w:w="0" w:type="dxa"/>
          <w:bottom w:w="0" w:type="dxa"/>
          <w:right w:w="0" w:type="dxa"/>
        </w:tblCellMar>
      </w:tblPr>
      <w:tblGrid>
        <w:gridCol w:w="23"/>
        <w:gridCol w:w="245"/>
        <w:gridCol w:w="953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1080" w:right="522"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2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518" w:hanging="0"/>
        <w:jc w:val="left"/>
        <w:rPr/>
      </w:pPr>
      <w:r>
        <w:rPr/>
        <w:t>​</w:t>
      </w:r>
    </w:p>
    <w:p>
      <w:pPr>
        <w:pStyle w:val="TextBody"/>
        <w:bidi w:val="0"/>
        <w:spacing w:lineRule="auto" w:line="285" w:before="0" w:after="0"/>
        <w:ind w:left="0" w:right="518" w:hanging="0"/>
        <w:jc w:val="left"/>
        <w:rPr/>
      </w:pPr>
      <w:r>
        <w:rPr/>
        <w:t>​</w:t>
      </w:r>
    </w:p>
    <w:p>
      <w:pPr>
        <w:pStyle w:val="TextBody"/>
        <w:bidi w:val="0"/>
        <w:spacing w:lineRule="auto" w:line="285" w:before="0" w:after="0"/>
        <w:ind w:left="0" w:right="518" w:hanging="0"/>
        <w:jc w:val="left"/>
        <w:rPr/>
      </w:pPr>
      <w:r>
        <w:rPr/>
        <w:t>​</w:t>
      </w:r>
    </w:p>
    <w:p>
      <w:pPr>
        <w:pStyle w:val="TextBody"/>
        <w:bidi w:val="0"/>
        <w:spacing w:lineRule="auto" w:line="285" w:before="0" w:after="0"/>
        <w:ind w:left="0" w:right="518" w:hanging="0"/>
        <w:jc w:val="left"/>
        <w:rPr/>
      </w:pPr>
      <w:r>
        <w:rPr/>
        <w:t>​</w:t>
      </w:r>
    </w:p>
    <w:p>
      <w:pPr>
        <w:pStyle w:val="TextBody"/>
        <w:bidi w:val="0"/>
        <w:spacing w:lineRule="auto" w:line="285" w:before="0" w:after="0"/>
        <w:ind w:left="0" w:right="518" w:hanging="0"/>
        <w:jc w:val="left"/>
        <w:rPr/>
      </w:pPr>
      <w:r>
        <w:rPr/>
        <w:t>​</w:t>
      </w:r>
    </w:p>
    <w:tbl>
      <w:tblPr>
        <w:tblW w:w="7476" w:type="dxa"/>
        <w:jc w:val="center"/>
        <w:tblInd w:w="0" w:type="dxa"/>
        <w:tblLayout w:type="fixed"/>
        <w:tblCellMar>
          <w:top w:w="0" w:type="dxa"/>
          <w:left w:w="0" w:type="dxa"/>
          <w:bottom w:w="0" w:type="dxa"/>
          <w:right w:w="0" w:type="dxa"/>
        </w:tblCellMar>
      </w:tblPr>
      <w:tblGrid>
        <w:gridCol w:w="1786"/>
        <w:gridCol w:w="109"/>
        <w:gridCol w:w="5581"/>
      </w:tblGrid>
      <w:tr>
        <w:trPr/>
        <w:tc>
          <w:tcPr>
            <w:tcW w:w="17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20"/>
              </w:rPr>
              <w:t xml:space="preserve">/s/ </w:t>
            </w:r>
            <w:r>
              <w:rPr>
                <w:rFonts w:ascii="Times New Roman;Times;serif" w:hAnsi="Times New Roman;Times;serif"/>
                <w:sz w:val="16"/>
              </w:rPr>
              <w:t>TIMOTHY J. MCGRATH</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Timothy J. McGrath</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600"/>
        <w:ind w:left="0" w:right="0" w:hanging="0"/>
        <w:jc w:val="right"/>
        <w:rPr>
          <w:rFonts w:ascii="Times New Roman;Times;serif" w:hAnsi="Times New Roman;Times;serif"/>
          <w:sz w:val="20"/>
        </w:rPr>
      </w:pPr>
      <w:bookmarkStart w:id="979" w:name="cnxn-20260331xex32d2.htm"/>
      <w:bookmarkStart w:id="980" w:name="kscnxn20260331xex32d2"/>
      <w:bookmarkEnd w:id="979"/>
      <w:bookmarkEnd w:id="980"/>
      <w:r>
        <w:rPr>
          <w:rFonts w:ascii="Times New Roman;Times;serif" w:hAnsi="Times New Roman;Times;serif"/>
          <w:sz w:val="20"/>
        </w:rPr>
        <w:t>Exhibit 32.2</w:t>
      </w:r>
      <w:r>
        <w:br w:type="page"/>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CERTIFICATION PURSUANT TO 18 U.S.C. SECTION 1350,</w:t>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lineRule="auto" w:line="285" w:before="0" w:after="60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lineRule="auto" w:line="285" w:before="0" w:after="200"/>
        <w:ind w:left="0" w:right="706" w:hanging="0"/>
        <w:jc w:val="left"/>
        <w:rPr>
          <w:rFonts w:ascii="Times New Roman;Times;serif" w:hAnsi="Times New Roman;Times;serif"/>
          <w:sz w:val="20"/>
        </w:rPr>
      </w:pPr>
      <w:r>
        <w:rPr>
          <w:rFonts w:ascii="Times New Roman;Times;serif" w:hAnsi="Times New Roman;Times;serif"/>
          <w:sz w:val="20"/>
        </w:rPr>
        <w:t>In connection with the Quarterly Report on Form 10-Q of PC Connection, Inc. (the “Company”) for the period ended March 31, 2026 as filed with the Securities and Exchange Commission on the date hereof (the “Report”), the undersigned, Thomas C. Baker, Senior Vice President, Chief Financial Officer and Treasurer of the Company, hereby certifies, pursuant to 18 U.S.C. Section 1350, that to the best of his knowledge:</w:t>
      </w:r>
    </w:p>
    <w:tbl>
      <w:tblPr>
        <w:tblW w:w="9821" w:type="dxa"/>
        <w:jc w:val="left"/>
        <w:tblInd w:w="0" w:type="dxa"/>
        <w:tblLayout w:type="fixed"/>
        <w:tblCellMar>
          <w:top w:w="0" w:type="dxa"/>
          <w:left w:w="0" w:type="dxa"/>
          <w:bottom w:w="0" w:type="dxa"/>
          <w:right w:w="0" w:type="dxa"/>
        </w:tblCellMar>
      </w:tblPr>
      <w:tblGrid>
        <w:gridCol w:w="23"/>
        <w:gridCol w:w="245"/>
        <w:gridCol w:w="953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1080" w:right="702"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2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706" w:hanging="0"/>
        <w:jc w:val="left"/>
        <w:rPr/>
      </w:pPr>
      <w:r>
        <w:rPr/>
        <w:t>​</w:t>
      </w:r>
    </w:p>
    <w:p>
      <w:pPr>
        <w:pStyle w:val="TextBody"/>
        <w:bidi w:val="0"/>
        <w:spacing w:lineRule="auto" w:line="285" w:before="0" w:after="0"/>
        <w:ind w:left="0" w:right="706" w:hanging="0"/>
        <w:jc w:val="left"/>
        <w:rPr/>
      </w:pPr>
      <w:r>
        <w:rPr/>
        <w:t>​</w:t>
      </w:r>
    </w:p>
    <w:p>
      <w:pPr>
        <w:pStyle w:val="TextBody"/>
        <w:bidi w:val="0"/>
        <w:spacing w:lineRule="auto" w:line="285" w:before="0" w:after="0"/>
        <w:ind w:left="0" w:right="706" w:hanging="0"/>
        <w:jc w:val="left"/>
        <w:rPr/>
      </w:pPr>
      <w:r>
        <w:rPr/>
        <w:t>​</w:t>
      </w:r>
    </w:p>
    <w:p>
      <w:pPr>
        <w:pStyle w:val="TextBody"/>
        <w:bidi w:val="0"/>
        <w:spacing w:lineRule="auto" w:line="285" w:before="0" w:after="0"/>
        <w:ind w:left="0" w:right="706" w:hanging="0"/>
        <w:jc w:val="left"/>
        <w:rPr/>
      </w:pPr>
      <w:r>
        <w:rPr/>
        <w:t>​</w:t>
      </w:r>
    </w:p>
    <w:p>
      <w:pPr>
        <w:pStyle w:val="TextBody"/>
        <w:bidi w:val="0"/>
        <w:spacing w:lineRule="auto" w:line="285" w:before="0" w:after="0"/>
        <w:ind w:left="0" w:right="706" w:hanging="0"/>
        <w:jc w:val="left"/>
        <w:rPr/>
      </w:pPr>
      <w:r>
        <w:rPr/>
        <w:t>​</w:t>
      </w:r>
    </w:p>
    <w:tbl>
      <w:tblPr>
        <w:tblW w:w="10205" w:type="dxa"/>
        <w:jc w:val="left"/>
        <w:tblInd w:w="0" w:type="dxa"/>
        <w:tblLayout w:type="fixed"/>
        <w:tblCellMar>
          <w:top w:w="0" w:type="dxa"/>
          <w:left w:w="0" w:type="dxa"/>
          <w:bottom w:w="0" w:type="dxa"/>
          <w:right w:w="0" w:type="dxa"/>
        </w:tblCellMar>
      </w:tblPr>
      <w:tblGrid>
        <w:gridCol w:w="1733"/>
        <w:gridCol w:w="109"/>
        <w:gridCol w:w="8363"/>
      </w:tblGrid>
      <w:tr>
        <w:trPr/>
        <w:tc>
          <w:tcPr>
            <w:tcW w:w="1733"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363" w:type="dxa"/>
            <w:tcBorders/>
            <w:vAlign w:val="center"/>
          </w:tcPr>
          <w:p>
            <w:pPr>
              <w:pStyle w:val="TableContents"/>
              <w:bidi w:val="0"/>
              <w:spacing w:lineRule="auto" w:line="285" w:before="0" w:after="0"/>
              <w:ind w:left="0" w:right="0" w:hanging="0"/>
              <w:jc w:val="left"/>
              <w:rPr/>
            </w:pPr>
            <w:r>
              <w:rPr/>
              <w:t>​</w:t>
            </w:r>
          </w:p>
        </w:tc>
      </w:tr>
      <w:tr>
        <w:trPr/>
        <w:tc>
          <w:tcPr>
            <w:tcW w:w="173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109" w:type="dxa"/>
            <w:tcBorders/>
            <w:vAlign w:val="center"/>
          </w:tcPr>
          <w:p>
            <w:pPr>
              <w:pStyle w:val="TableContents"/>
              <w:bidi w:val="0"/>
              <w:spacing w:lineRule="auto" w:line="285" w:before="0" w:after="0"/>
              <w:ind w:left="0" w:right="0" w:hanging="0"/>
              <w:jc w:val="left"/>
              <w:rPr>
                <w:shd w:fill="FFFF00" w:val="clear"/>
              </w:rPr>
            </w:pPr>
            <w:r>
              <w:rPr>
                <w:shd w:fill="FFFF00" w:val="clear"/>
              </w:rPr>
              <w:t>​</w:t>
            </w:r>
          </w:p>
        </w:tc>
        <w:tc>
          <w:tcPr>
            <w:tcW w:w="83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 THOMAS C. BAKER</w:t>
            </w:r>
          </w:p>
        </w:tc>
      </w:tr>
      <w:tr>
        <w:trPr/>
        <w:tc>
          <w:tcPr>
            <w:tcW w:w="1733"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363"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Thomas C. Baker</w:t>
            </w:r>
          </w:p>
        </w:tc>
      </w:tr>
      <w:tr>
        <w:trPr/>
        <w:tc>
          <w:tcPr>
            <w:tcW w:w="1733"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Senior Vice President, Chief Financial Officer and Treasurer (Principal Financial and Accounting Officer)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50377/000092701601501476/dex31.txt" TargetMode="External"/><Relationship Id="rId3" Type="http://schemas.openxmlformats.org/officeDocument/2006/relationships/hyperlink" Target="https://www.sec.gov/Archives/edgar/data/1050377/000119312508003930/dex31.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17966</Words>
  <Characters>99542</Characters>
  <CharactersWithSpaces>119197</CharactersWithSpaces>
  <Paragraphs>5102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