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GALLUP PATRICIA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PC CONNECTION INC</w:t>
              </w:r>
            </w:hyperlink>
            <w:r>
              <w:rPr/>
              <w:t xml:space="preserve"> [ </w:t>
            </w:r>
            <w:r>
              <w:rPr>
                <w:rFonts w:ascii="Times;serif" w:hAnsi="Times;serif"/>
                <w:color w:val="0000FF"/>
                <w:sz w:val="24"/>
                <w:shd w:fill="FFFFFF" w:val="clear"/>
              </w:rPr>
              <w:t>CNXN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Chief Admin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835"/>
        <w:gridCol w:w="447"/>
        <w:gridCol w:w="792"/>
        <w:gridCol w:w="1267"/>
        <w:gridCol w:w="987"/>
        <w:gridCol w:w="95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4,872</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78.76</w:t>
            </w:r>
            <w:r>
              <w:rPr>
                <w:rFonts w:ascii="Times;serif" w:hAnsi="Times;serif"/>
                <w:color w:val="008000"/>
                <w:position w:val="7"/>
                <w:sz w:val="16"/>
                <w:sz w:val="20"/>
                <w:shd w:fill="FFFFFF" w:val="clear"/>
              </w:rPr>
              <w:t>(2)</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6,951,455</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79.39</w:t>
            </w:r>
            <w:r>
              <w:rPr>
                <w:rFonts w:ascii="Times;serif" w:hAnsi="Times;serif"/>
                <w:color w:val="008000"/>
                <w:position w:val="7"/>
                <w:sz w:val="16"/>
                <w:sz w:val="20"/>
                <w:shd w:fill="FFFFFF" w:val="clear"/>
              </w:rPr>
              <w:t>(4)</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6,949,185</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4,458</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80.4</w:t>
            </w:r>
            <w:r>
              <w:rPr>
                <w:rFonts w:ascii="Times;serif" w:hAnsi="Times;serif"/>
                <w:color w:val="008000"/>
                <w:position w:val="7"/>
                <w:sz w:val="16"/>
                <w:sz w:val="20"/>
                <w:shd w:fill="FFFFFF" w:val="clear"/>
              </w:rPr>
              <w:t>(5)</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6,944,727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2,684</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80.88</w:t>
            </w:r>
            <w:r>
              <w:rPr>
                <w:rFonts w:ascii="Times;serif" w:hAnsi="Times;serif"/>
                <w:color w:val="008000"/>
                <w:position w:val="7"/>
                <w:sz w:val="16"/>
                <w:sz w:val="20"/>
                <w:shd w:fill="FFFFFF" w:val="clear"/>
              </w:rPr>
              <w:t>(6)</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6,942,043</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533,758</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15,133</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(7)</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906,837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(8)</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(9)</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(10)</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(11)</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GALLUP PATRICIA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David Hall Trust 2003</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David Hall Trust 2003 on March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at prices ranging from $78.18 to $79.17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directly by the David Hall Trust 2003, an irrevocable trust formed under the laws of the State of New Hampshire. Ms. Gallup serves as the sole trustee and is the sole beneficiary of the shares held by the David Hall Trust 2003.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is a weighted average price. These shares were sold in multiple transactions at prices ranging from $79.18 to $79.76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is a weighted average price. These shares were sold in multiple transactions at prices ranging from $79.69 to $80.68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price is a weighted average price. These shares were sold in multiple transactions at prices ranging from $80.71 to $81.08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reporting persons disclaim beneficial ownership of these securities, except to the extent of such person's pecuniary interest therein. This report shall not be deemed an admission that the reporting persons are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shares are held directly by the Abbott Brook Trust, a grantor retained annuity trust formed under the laws of the State of New Hampshire. The reporting person is the sole trustee of the Abbott Brook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shares are held directly by the North Branch Trust, an irrevocable trust formed under the laws of the State of New Hampshire. Ms. Gallup serves as the sole trustee of the North Branch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shares are held directly by the Comack Trust-B, a grantor retained annuity trust formed under the laws of the State of New Hampshire. The reporting person is the sole trustee of the Comack Trust-B.</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These shares are held directly by the Abbott Brook Trust-B, a grantor retained annuity trust formed under the laws of the State of New Hampshire. The reporting person is the sole trustee of the Abbott Brook Trust-B.</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These shares are held directly by the Abbott Brook Trust II, a grantor retained annuity trust formed under the laws of the State of New Hampshire. The reporting person is the sole trustee of the Abbott Brook Trust II.</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/s/Patricia Gallup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/s/Patricia Gallup, as Trustee of the David Hall Trust 2003</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6630" TargetMode="External"/><Relationship Id="rId5" Type="http://schemas.openxmlformats.org/officeDocument/2006/relationships/hyperlink" Target="http://www.sec.gov/cgi-bin/browse-edgar?action=getcompany&amp;CIK=00010503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hyperlink" Target="http://www.sec.gov/cgi-bin/browse-edgar?action=getcompany&amp;CIK=0001186630" TargetMode="External"/><Relationship Id="rId11" Type="http://schemas.openxmlformats.org/officeDocument/2006/relationships/hyperlink" Target="http://www.sec.gov/cgi-bin/browse-edgar?action=getcompany&amp;CIK=0001930044"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1294</Words>
  <Characters>6754</Characters>
  <CharactersWithSpaces>7886</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